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LED屏采购</w:t>
      </w:r>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438761C6">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36162C35">
      <w:pPr>
        <w:pStyle w:val="15"/>
        <w:rPr>
          <w:rFonts w:hint="eastAsia"/>
        </w:rPr>
        <w:sectPr>
          <w:pgSz w:w="11906" w:h="16838"/>
          <w:pgMar w:top="1440" w:right="1800" w:bottom="1440" w:left="1800" w:header="851" w:footer="992" w:gutter="0"/>
          <w:cols w:space="425" w:num="1"/>
          <w:docGrid w:type="lines" w:linePitch="312" w:charSpace="0"/>
        </w:sectPr>
      </w:pPr>
    </w:p>
    <w:p w14:paraId="2492F301">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23C4ACBC">
      <w:pPr>
        <w:ind w:left="0" w:leftChars="0" w:firstLine="0" w:firstLineChars="0"/>
        <w:rPr>
          <w:rFonts w:hint="default"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2.4、原厂授权（原厂直接参与无需提供）</w:t>
      </w:r>
    </w:p>
    <w:tbl>
      <w:tblPr>
        <w:tblStyle w:val="24"/>
        <w:tblW w:w="14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6"/>
        <w:gridCol w:w="1417"/>
        <w:gridCol w:w="4875"/>
        <w:gridCol w:w="195"/>
        <w:gridCol w:w="1905"/>
        <w:gridCol w:w="854"/>
        <w:gridCol w:w="487"/>
        <w:gridCol w:w="1009"/>
        <w:gridCol w:w="1333"/>
        <w:gridCol w:w="1749"/>
      </w:tblGrid>
      <w:tr w14:paraId="00F49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4760" w:type="dxa"/>
            <w:gridSpan w:val="10"/>
            <w:tcBorders>
              <w:top w:val="single" w:color="000000" w:sz="4" w:space="0"/>
              <w:left w:val="single" w:color="000000" w:sz="4" w:space="0"/>
              <w:bottom w:val="nil"/>
              <w:right w:val="single" w:color="000000" w:sz="4" w:space="0"/>
            </w:tcBorders>
            <w:shd w:val="clear" w:color="auto" w:fill="auto"/>
            <w:vAlign w:val="center"/>
          </w:tcPr>
          <w:p w14:paraId="1C9178EC">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37BE4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353" w:type="dxa"/>
            <w:gridSpan w:val="2"/>
            <w:tcBorders>
              <w:top w:val="single" w:color="000000" w:sz="8" w:space="0"/>
              <w:left w:val="single" w:color="000000" w:sz="8" w:space="0"/>
              <w:bottom w:val="single" w:color="000000" w:sz="4" w:space="0"/>
              <w:right w:val="single" w:color="000000" w:sz="4" w:space="0"/>
            </w:tcBorders>
            <w:shd w:val="clear" w:color="auto" w:fill="auto"/>
            <w:vAlign w:val="center"/>
          </w:tcPr>
          <w:p w14:paraId="16892C79">
            <w:pPr>
              <w:keepNext w:val="0"/>
              <w:keepLines w:val="0"/>
              <w:widowControl/>
              <w:suppressLineNumbers w:val="0"/>
              <w:ind w:left="0" w:leftChars="0" w:firstLine="0" w:firstLineChars="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询价单位</w:t>
            </w:r>
          </w:p>
        </w:tc>
        <w:tc>
          <w:tcPr>
            <w:tcW w:w="48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1231ED9">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江苏省淮安市保安服务有限公司</w:t>
            </w:r>
          </w:p>
        </w:tc>
        <w:tc>
          <w:tcPr>
            <w:tcW w:w="2100"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311DA7FA">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报价单位</w:t>
            </w:r>
          </w:p>
        </w:tc>
        <w:tc>
          <w:tcPr>
            <w:tcW w:w="5432" w:type="dxa"/>
            <w:gridSpan w:val="5"/>
            <w:tcBorders>
              <w:top w:val="single" w:color="000000" w:sz="8" w:space="0"/>
              <w:left w:val="single" w:color="000000" w:sz="4" w:space="0"/>
              <w:bottom w:val="single" w:color="000000" w:sz="4" w:space="0"/>
              <w:right w:val="single" w:color="000000" w:sz="4" w:space="0"/>
            </w:tcBorders>
            <w:shd w:val="clear" w:color="auto" w:fill="auto"/>
            <w:noWrap/>
            <w:vAlign w:val="center"/>
          </w:tcPr>
          <w:p w14:paraId="0BEC176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cs="宋体"/>
                <w:i w:val="0"/>
                <w:iCs w:val="0"/>
                <w:color w:val="FF0000"/>
                <w:kern w:val="0"/>
                <w:sz w:val="22"/>
                <w:szCs w:val="22"/>
                <w:u w:val="none"/>
                <w:lang w:val="en-US" w:eastAsia="zh-CN" w:bidi="ar"/>
              </w:rPr>
              <w:t>必填</w:t>
            </w:r>
          </w:p>
        </w:tc>
      </w:tr>
      <w:tr w14:paraId="320C7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353"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40F7955A">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联系人</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2679">
            <w:pPr>
              <w:jc w:val="center"/>
              <w:rPr>
                <w:rFonts w:hint="eastAsia" w:ascii="黑体" w:hAnsi="宋体" w:eastAsia="黑体" w:cs="黑体"/>
                <w:i w:val="0"/>
                <w:iCs w:val="0"/>
                <w:color w:val="000000"/>
                <w:sz w:val="24"/>
                <w:szCs w:val="24"/>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73C19">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sz w:val="24"/>
                <w:szCs w:val="24"/>
                <w:u w:val="none"/>
                <w:lang w:val="en-US" w:eastAsia="zh-CN"/>
              </w:rPr>
              <w:t>法定</w:t>
            </w:r>
            <w:r>
              <w:rPr>
                <w:rFonts w:hint="eastAsia" w:ascii="黑体" w:hAnsi="宋体" w:eastAsia="黑体" w:cs="黑体"/>
                <w:i w:val="0"/>
                <w:iCs w:val="0"/>
                <w:color w:val="000000"/>
                <w:kern w:val="0"/>
                <w:sz w:val="24"/>
                <w:szCs w:val="24"/>
                <w:u w:val="none"/>
                <w:lang w:val="en-US" w:eastAsia="zh-CN" w:bidi="ar"/>
              </w:rPr>
              <w:t>代表人</w:t>
            </w:r>
            <w:r>
              <w:rPr>
                <w:rFonts w:hint="eastAsia" w:ascii="黑体" w:hAnsi="宋体" w:eastAsia="黑体" w:cs="黑体"/>
                <w:i w:val="0"/>
                <w:iCs w:val="0"/>
                <w:color w:val="000000"/>
                <w:sz w:val="24"/>
                <w:szCs w:val="24"/>
                <w:u w:val="none"/>
                <w:lang w:val="en-US" w:eastAsia="zh-CN"/>
              </w:rPr>
              <w:t>或授权</w:t>
            </w:r>
            <w:r>
              <w:rPr>
                <w:rFonts w:hint="eastAsia" w:ascii="黑体" w:hAnsi="宋体" w:eastAsia="黑体" w:cs="黑体"/>
                <w:i w:val="0"/>
                <w:iCs w:val="0"/>
                <w:color w:val="000000"/>
                <w:kern w:val="0"/>
                <w:sz w:val="24"/>
                <w:szCs w:val="24"/>
                <w:u w:val="none"/>
                <w:lang w:val="en-US" w:eastAsia="zh-CN" w:bidi="ar"/>
              </w:rPr>
              <w:t>委托人</w:t>
            </w:r>
          </w:p>
        </w:tc>
        <w:tc>
          <w:tcPr>
            <w:tcW w:w="543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D69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cs="宋体"/>
                <w:i w:val="0"/>
                <w:iCs w:val="0"/>
                <w:color w:val="FF0000"/>
                <w:kern w:val="0"/>
                <w:sz w:val="22"/>
                <w:szCs w:val="22"/>
                <w:u w:val="none"/>
                <w:lang w:val="en-US" w:eastAsia="zh-CN" w:bidi="ar"/>
              </w:rPr>
              <w:t>必填</w:t>
            </w:r>
          </w:p>
        </w:tc>
      </w:tr>
      <w:tr w14:paraId="7872E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353"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B44B2E9">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电话</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F4C8">
            <w:pPr>
              <w:jc w:val="center"/>
              <w:rPr>
                <w:rFonts w:hint="eastAsia" w:ascii="黑体" w:hAnsi="宋体" w:eastAsia="黑体" w:cs="黑体"/>
                <w:i w:val="0"/>
                <w:iCs w:val="0"/>
                <w:color w:val="000000"/>
                <w:sz w:val="24"/>
                <w:szCs w:val="24"/>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EE987">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电话</w:t>
            </w:r>
          </w:p>
        </w:tc>
        <w:tc>
          <w:tcPr>
            <w:tcW w:w="543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EBE1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cs="宋体"/>
                <w:i w:val="0"/>
                <w:iCs w:val="0"/>
                <w:color w:val="FF0000"/>
                <w:kern w:val="0"/>
                <w:sz w:val="22"/>
                <w:szCs w:val="22"/>
                <w:u w:val="none"/>
                <w:lang w:val="en-US" w:eastAsia="zh-CN" w:bidi="ar"/>
              </w:rPr>
              <w:t>必填</w:t>
            </w:r>
          </w:p>
        </w:tc>
      </w:tr>
      <w:tr w14:paraId="10150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353"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7CB0833">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邮箱</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2C5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FF"/>
                <w:sz w:val="22"/>
                <w:szCs w:val="22"/>
                <w:u w:val="single"/>
              </w:rPr>
            </w:pPr>
            <w:r>
              <w:rPr>
                <w:rFonts w:hint="eastAsia" w:ascii="宋体" w:hAnsi="宋体" w:eastAsia="宋体" w:cs="宋体"/>
                <w:i w:val="0"/>
                <w:iCs w:val="0"/>
                <w:kern w:val="0"/>
                <w:sz w:val="22"/>
                <w:szCs w:val="22"/>
                <w:u w:val="single"/>
                <w:lang w:val="en-US" w:eastAsia="zh-CN" w:bidi="ar"/>
              </w:rPr>
              <w:fldChar w:fldCharType="begin"/>
            </w:r>
            <w:r>
              <w:rPr>
                <w:rFonts w:hint="eastAsia" w:ascii="宋体" w:hAnsi="宋体" w:eastAsia="宋体" w:cs="宋体"/>
                <w:i w:val="0"/>
                <w:iCs w:val="0"/>
                <w:kern w:val="0"/>
                <w:sz w:val="22"/>
                <w:szCs w:val="22"/>
                <w:u w:val="single"/>
                <w:lang w:val="en-US" w:eastAsia="zh-CN" w:bidi="ar"/>
              </w:rPr>
              <w:instrText xml:space="preserve"> HYPERLINK "mailto:HABAccb@163.com" \o "mailto:HABAccb@163.com" </w:instrText>
            </w:r>
            <w:r>
              <w:rPr>
                <w:rFonts w:hint="eastAsia" w:ascii="宋体" w:hAnsi="宋体" w:eastAsia="宋体" w:cs="宋体"/>
                <w:i w:val="0"/>
                <w:iCs w:val="0"/>
                <w:kern w:val="0"/>
                <w:sz w:val="22"/>
                <w:szCs w:val="22"/>
                <w:u w:val="single"/>
                <w:lang w:val="en-US" w:eastAsia="zh-CN" w:bidi="ar"/>
              </w:rPr>
              <w:fldChar w:fldCharType="separate"/>
            </w:r>
            <w:r>
              <w:rPr>
                <w:rStyle w:val="27"/>
                <w:rFonts w:hint="eastAsia" w:ascii="宋体" w:hAnsi="宋体" w:eastAsia="宋体" w:cs="宋体"/>
                <w:i w:val="0"/>
                <w:iCs w:val="0"/>
                <w:sz w:val="22"/>
                <w:szCs w:val="22"/>
                <w:u w:val="single"/>
              </w:rPr>
              <w:t>HABAccb@163.com</w:t>
            </w:r>
            <w:r>
              <w:rPr>
                <w:rFonts w:hint="eastAsia" w:ascii="宋体" w:hAnsi="宋体" w:eastAsia="宋体" w:cs="宋体"/>
                <w:i w:val="0"/>
                <w:iCs w:val="0"/>
                <w:kern w:val="0"/>
                <w:sz w:val="22"/>
                <w:szCs w:val="22"/>
                <w:u w:val="single"/>
                <w:lang w:val="en-US" w:eastAsia="zh-CN" w:bidi="ar"/>
              </w:rPr>
              <w:fldChar w:fldCharType="end"/>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E7A0B">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邮箱</w:t>
            </w:r>
          </w:p>
        </w:tc>
        <w:tc>
          <w:tcPr>
            <w:tcW w:w="543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E8D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cs="宋体"/>
                <w:i w:val="0"/>
                <w:iCs w:val="0"/>
                <w:color w:val="FF0000"/>
                <w:kern w:val="0"/>
                <w:sz w:val="22"/>
                <w:szCs w:val="22"/>
                <w:u w:val="none"/>
                <w:lang w:val="en-US" w:eastAsia="zh-CN" w:bidi="ar"/>
              </w:rPr>
              <w:t>必填</w:t>
            </w:r>
          </w:p>
        </w:tc>
      </w:tr>
      <w:tr w14:paraId="3B733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353"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C9F32C3">
            <w:pPr>
              <w:jc w:val="center"/>
              <w:rPr>
                <w:rFonts w:hint="eastAsia" w:ascii="黑体" w:hAnsi="宋体" w:eastAsia="黑体" w:cs="黑体"/>
                <w:i w:val="0"/>
                <w:iCs w:val="0"/>
                <w:color w:val="000000"/>
                <w:sz w:val="24"/>
                <w:szCs w:val="24"/>
                <w:u w:val="none"/>
              </w:rPr>
            </w:pP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3825">
            <w:pPr>
              <w:jc w:val="center"/>
              <w:rPr>
                <w:rFonts w:hint="eastAsia" w:ascii="黑体" w:hAnsi="宋体" w:eastAsia="黑体" w:cs="黑体"/>
                <w:i w:val="0"/>
                <w:iCs w:val="0"/>
                <w:color w:val="000000"/>
                <w:sz w:val="24"/>
                <w:szCs w:val="24"/>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EAF25">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报价日期</w:t>
            </w:r>
          </w:p>
        </w:tc>
        <w:tc>
          <w:tcPr>
            <w:tcW w:w="543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B47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lang w:val="en-US" w:eastAsia="zh-CN"/>
              </w:rPr>
            </w:pPr>
            <w:r>
              <w:rPr>
                <w:rFonts w:hint="eastAsia" w:ascii="宋体" w:hAnsi="宋体" w:cs="宋体"/>
                <w:i w:val="0"/>
                <w:iCs w:val="0"/>
                <w:color w:val="FF0000"/>
                <w:kern w:val="0"/>
                <w:sz w:val="22"/>
                <w:szCs w:val="22"/>
                <w:u w:val="none"/>
                <w:lang w:val="en-US" w:eastAsia="zh-CN" w:bidi="ar"/>
              </w:rPr>
              <w:t>必填</w:t>
            </w:r>
          </w:p>
        </w:tc>
      </w:tr>
      <w:tr w14:paraId="786E8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36"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501C9D7E">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3AB91">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项目名称</w:t>
            </w:r>
          </w:p>
        </w:tc>
        <w:tc>
          <w:tcPr>
            <w:tcW w:w="4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8D016A">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技术参数</w:t>
            </w:r>
          </w:p>
        </w:tc>
        <w:tc>
          <w:tcPr>
            <w:tcW w:w="21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6DE86">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单位</w:t>
            </w:r>
          </w:p>
        </w:tc>
        <w:tc>
          <w:tcPr>
            <w:tcW w:w="1341" w:type="dxa"/>
            <w:gridSpan w:val="2"/>
            <w:vMerge w:val="restart"/>
            <w:tcBorders>
              <w:top w:val="single" w:color="000000" w:sz="4" w:space="0"/>
              <w:left w:val="single" w:color="000000" w:sz="4" w:space="0"/>
              <w:right w:val="single" w:color="000000" w:sz="4" w:space="0"/>
            </w:tcBorders>
            <w:shd w:val="clear" w:color="auto" w:fill="auto"/>
            <w:vAlign w:val="center"/>
          </w:tcPr>
          <w:p w14:paraId="6FAECE73">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数量</w:t>
            </w:r>
          </w:p>
        </w:tc>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CF827">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金额（元）</w:t>
            </w:r>
          </w:p>
        </w:tc>
        <w:tc>
          <w:tcPr>
            <w:tcW w:w="1749"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67CD882D">
            <w:pPr>
              <w:keepNext w:val="0"/>
              <w:keepLines w:val="0"/>
              <w:widowControl/>
              <w:suppressLineNumbers w:val="0"/>
              <w:ind w:left="0" w:leftChars="0" w:firstLine="0" w:firstLineChars="0"/>
              <w:jc w:val="center"/>
              <w:textAlignment w:val="center"/>
              <w:rPr>
                <w:rFonts w:hint="default" w:ascii="黑体" w:hAnsi="宋体" w:eastAsia="黑体" w:cs="黑体"/>
                <w:i w:val="0"/>
                <w:iCs w:val="0"/>
                <w:color w:val="000000"/>
                <w:sz w:val="24"/>
                <w:szCs w:val="24"/>
                <w:u w:val="none"/>
                <w:lang w:val="en-US"/>
              </w:rPr>
            </w:pPr>
            <w:r>
              <w:rPr>
                <w:rFonts w:hint="eastAsia" w:ascii="黑体" w:hAnsi="宋体" w:eastAsia="黑体" w:cs="黑体"/>
                <w:i w:val="0"/>
                <w:iCs w:val="0"/>
                <w:color w:val="000000"/>
                <w:kern w:val="0"/>
                <w:sz w:val="24"/>
                <w:szCs w:val="24"/>
                <w:u w:val="none"/>
                <w:lang w:val="en-US" w:eastAsia="zh-CN" w:bidi="ar"/>
              </w:rPr>
              <w:t>品牌</w:t>
            </w:r>
          </w:p>
        </w:tc>
      </w:tr>
      <w:tr w14:paraId="00878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36"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5AF6ABF">
            <w:pPr>
              <w:jc w:val="center"/>
              <w:rPr>
                <w:rFonts w:hint="eastAsia" w:ascii="黑体" w:hAnsi="宋体" w:eastAsia="黑体" w:cs="黑体"/>
                <w:i w:val="0"/>
                <w:iCs w:val="0"/>
                <w:color w:val="000000"/>
                <w:sz w:val="24"/>
                <w:szCs w:val="24"/>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4D10E">
            <w:pPr>
              <w:jc w:val="center"/>
              <w:rPr>
                <w:rFonts w:hint="eastAsia" w:ascii="黑体" w:hAnsi="宋体" w:eastAsia="黑体" w:cs="黑体"/>
                <w:i w:val="0"/>
                <w:iCs w:val="0"/>
                <w:color w:val="000000"/>
                <w:sz w:val="24"/>
                <w:szCs w:val="24"/>
                <w:u w:val="none"/>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DC508">
            <w:pPr>
              <w:jc w:val="center"/>
              <w:rPr>
                <w:rFonts w:hint="eastAsia" w:ascii="黑体" w:hAnsi="宋体" w:eastAsia="黑体" w:cs="黑体"/>
                <w:i w:val="0"/>
                <w:iCs w:val="0"/>
                <w:color w:val="000000"/>
                <w:sz w:val="24"/>
                <w:szCs w:val="24"/>
                <w:u w:val="none"/>
              </w:rPr>
            </w:pPr>
          </w:p>
        </w:tc>
        <w:tc>
          <w:tcPr>
            <w:tcW w:w="21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4FE8A">
            <w:pPr>
              <w:jc w:val="center"/>
              <w:rPr>
                <w:rFonts w:hint="eastAsia" w:ascii="黑体" w:hAnsi="宋体" w:eastAsia="黑体" w:cs="黑体"/>
                <w:i w:val="0"/>
                <w:iCs w:val="0"/>
                <w:color w:val="000000"/>
                <w:sz w:val="24"/>
                <w:szCs w:val="24"/>
                <w:u w:val="none"/>
              </w:rPr>
            </w:pPr>
          </w:p>
        </w:tc>
        <w:tc>
          <w:tcPr>
            <w:tcW w:w="1341" w:type="dxa"/>
            <w:gridSpan w:val="2"/>
            <w:vMerge w:val="continue"/>
            <w:tcBorders>
              <w:left w:val="single" w:color="000000" w:sz="4" w:space="0"/>
              <w:bottom w:val="single" w:color="000000" w:sz="4" w:space="0"/>
              <w:right w:val="single" w:color="000000" w:sz="4" w:space="0"/>
            </w:tcBorders>
            <w:shd w:val="clear" w:color="auto" w:fill="auto"/>
            <w:vAlign w:val="center"/>
          </w:tcPr>
          <w:p w14:paraId="4C85E1C8">
            <w:pPr>
              <w:jc w:val="center"/>
              <w:rPr>
                <w:rFonts w:hint="eastAsia" w:ascii="黑体" w:hAnsi="宋体" w:eastAsia="黑体" w:cs="黑体"/>
                <w:i w:val="0"/>
                <w:iCs w:val="0"/>
                <w:color w:val="000000"/>
                <w:sz w:val="24"/>
                <w:szCs w:val="24"/>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D240">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单价</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C5D7">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合价</w:t>
            </w:r>
          </w:p>
        </w:tc>
        <w:tc>
          <w:tcPr>
            <w:tcW w:w="1749"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119313F4">
            <w:pPr>
              <w:jc w:val="center"/>
              <w:rPr>
                <w:rFonts w:hint="eastAsia" w:ascii="黑体" w:hAnsi="宋体" w:eastAsia="黑体" w:cs="黑体"/>
                <w:i w:val="0"/>
                <w:iCs w:val="0"/>
                <w:color w:val="000000"/>
                <w:sz w:val="24"/>
                <w:szCs w:val="24"/>
                <w:u w:val="none"/>
              </w:rPr>
            </w:pPr>
          </w:p>
        </w:tc>
      </w:tr>
      <w:tr w14:paraId="28C15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93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698EB1E">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4941">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室内LED屏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P1.2</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B534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室内全彩LED屏；(包含：接收卡，电源，原厂压铸铝箱体，安装调试，框架及包边装饰)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1、像素点间距：≤1.2mm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2、单元板分辨率：≥32768Dots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3、刷新率：≥3840Hz，支持通过配套控制软件调节刷新率设置选项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4、素构成：1R、1G、1B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5、封装方式：SMD表贴三合一，铜线封装，五面黑灯，表面不反光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6、驱动方式：恒流驱动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7、控制方式：同步控制系统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8、维护方式：前后双向维护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9、整屏平整度≤0.04mm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10、白平衡亮度：0-700cd/㎡可调；亮度调节：0-100%亮度可调，256级手动/自动调节，屏幕亮度具有随环境照度的变化任意调整功能；亮度均匀性：≥99%</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11、色温800K-18000K可调；白平衡状态下色温在6500K±5%；色温为6500K时，100%75%50%25%档电平白场调节色温误差≤100K"</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12、水平视角≥170°；垂直视角≥170°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13、对比度≥8500：1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14、灰度等级≥14bit，红绿蓝各256级，可达16384级；采用EPWM 灰阶控制技术提升低灰视觉效果，100%亮度时，14bit灰度；70%亮度，14bit灰度；50%亮度，14bit灰度；20%亮度，12bit灰度，显示画面无单列或单行像素失控现象；支持0-100%亮度时，8-14bits灰度自定义设置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15、峰值功耗≤300W/m²；平均功耗≤120W/m²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16、供电电源：在4.2*（1±10%）VDC～4.5*（1±10%）VDC范围内能正常工作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17、输入电压：支持宽压输入 在96-264VAC，支持窄压输入在200-240VAC，在该范围内能正常工作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18、防护性能：具有防静电、防电磁干扰、防腐蚀、防霉菌、防虫、防潮、抗震动、抗雷击等功能；具有电源过压、过流、断电保护、分布上电措施、防护等级达到IP60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19、具有列下消隐功能、倍频刷新率提升2/4/8倍、低灰偏色改善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20、色坐标X、Y坐标符合SJ/T11141-2017 5.10.5规定；色度均匀性±0.001Cx、Cy内；色域空间≥120% NTSC，LED显示屏ColorSPace覆盖率≥170%YUV(PAL)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数据记忆储存于LED显示模块箱体中，更换箱体设备时，无需重新设定参数；支持采用电源双备份，两个电源互为备份方式，任一电源故障不影响屏体正常工作；支持采用双电力备份，可以同时接入2路电力供电互为备份方式，任一电力故障不影响屏体显示；支持采用双系统备份，两套发送卡和两套接收卡互为备份方式，任一套发送卡和接收卡故障不影响屏体正常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正常播放视频状态下点亮5分钟后产品表面温度升幅≤1.5℃，点亮10分钟后其温度升幅≤8℃；产品在白平衡状态下点亮5分钟后产品表面温度升幅≤8℃，点亮10分钟后其温度升幅≤18℃；产品正常使用工作达到热平衡状态后，屏体结构金属部分温度升幅≤30℃，绝缘材料温度升幅≤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23、产品采用高端芯片，可智能调节正常工作与睡眠状态下的节能效果（动态节能，智能息屏），开启智能节电功能比没有开启节能50%以上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24、保证箱体拼接的平整度和密闭防尘性；支持箱体拼接自动对位设计；具有拼缝微调功能；箱体支持X/Y/Z六向调节，可实现屏幕上下左右拼缝及前后平整度任意调节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25、屏幕表面光反射率，照度=10Lux/5600K条件下， 显示屏屏幕表面光反射率 （单位面积反射亮度）＜3.0cd/m²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26、具备防蓝光护眼功能，蓝光辐射能量≤20%。蓝光辐射能量值对人眼视网膜无伤害，LED显示屏蓝光辐亮度≤0.5W.m-2.sr-1,符合肉眼观看标准。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27、支持PPA碗杯结构、点胶封装、出光方式为单面发光；显示面采用高强度化学防护材质，防碰撞、耐冲击、高耐磨、抗腐蚀、防划痕，可直接擦拭LED附着力≥100N；在灯珠四侧以水平 夹角 45°的方向施加推力 15N，灯珠未破碎或脱落。</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9077B">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平方</w:t>
            </w:r>
          </w:p>
        </w:tc>
        <w:tc>
          <w:tcPr>
            <w:tcW w:w="1341" w:type="dxa"/>
            <w:gridSpan w:val="2"/>
            <w:tcBorders>
              <w:top w:val="single" w:color="000000" w:sz="4" w:space="0"/>
              <w:left w:val="single" w:color="000000" w:sz="4" w:space="0"/>
              <w:bottom w:val="single" w:color="000000" w:sz="4" w:space="0"/>
              <w:right w:val="nil"/>
            </w:tcBorders>
            <w:shd w:val="clear" w:color="auto" w:fill="auto"/>
            <w:vAlign w:val="center"/>
          </w:tcPr>
          <w:p w14:paraId="792F25F3">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5.63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E2FF">
            <w:pPr>
              <w:spacing w:line="240" w:lineRule="auto"/>
              <w:jc w:val="center"/>
              <w:rPr>
                <w:rFonts w:hint="eastAsia" w:ascii="黑体" w:hAnsi="宋体" w:eastAsia="黑体" w:cs="黑体"/>
                <w:i w:val="0"/>
                <w:iCs w:val="0"/>
                <w:color w:val="000000"/>
                <w:sz w:val="24"/>
                <w:szCs w:val="24"/>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48C7">
            <w:pPr>
              <w:spacing w:line="240" w:lineRule="auto"/>
              <w:jc w:val="center"/>
              <w:rPr>
                <w:rFonts w:hint="eastAsia" w:ascii="黑体" w:hAnsi="宋体" w:eastAsia="黑体" w:cs="黑体"/>
                <w:i w:val="0"/>
                <w:iCs w:val="0"/>
                <w:color w:val="000000"/>
                <w:sz w:val="24"/>
                <w:szCs w:val="24"/>
                <w:u w:val="none"/>
              </w:rPr>
            </w:pPr>
          </w:p>
        </w:tc>
        <w:tc>
          <w:tcPr>
            <w:tcW w:w="1749" w:type="dxa"/>
            <w:tcBorders>
              <w:top w:val="single" w:color="000000" w:sz="4" w:space="0"/>
              <w:left w:val="single" w:color="000000" w:sz="4" w:space="0"/>
              <w:right w:val="single" w:color="000000" w:sz="8" w:space="0"/>
            </w:tcBorders>
            <w:shd w:val="clear" w:color="auto" w:fill="auto"/>
            <w:vAlign w:val="center"/>
          </w:tcPr>
          <w:p w14:paraId="7881F6F5">
            <w:pPr>
              <w:keepNext w:val="0"/>
              <w:keepLines w:val="0"/>
              <w:widowControl/>
              <w:suppressLineNumbers w:val="0"/>
              <w:spacing w:line="240" w:lineRule="auto"/>
              <w:ind w:left="0" w:leftChars="0" w:firstLine="0" w:firstLineChars="0"/>
              <w:jc w:val="center"/>
              <w:textAlignment w:val="center"/>
              <w:rPr>
                <w:rFonts w:hint="eastAsia" w:ascii="黑体" w:hAnsi="宋体" w:eastAsia="黑体" w:cs="黑体"/>
                <w:i w:val="0"/>
                <w:iCs w:val="0"/>
                <w:color w:val="000000"/>
                <w:sz w:val="24"/>
                <w:szCs w:val="24"/>
                <w:u w:val="none"/>
                <w:lang w:val="en-US" w:eastAsia="zh-CN"/>
              </w:rPr>
            </w:pPr>
            <w:r>
              <w:rPr>
                <w:rFonts w:hint="eastAsia" w:ascii="黑体" w:hAnsi="宋体" w:eastAsia="黑体" w:cs="黑体"/>
                <w:i w:val="0"/>
                <w:iCs w:val="0"/>
                <w:color w:val="000000"/>
                <w:sz w:val="24"/>
                <w:szCs w:val="24"/>
                <w:u w:val="none"/>
                <w:lang w:val="en-US" w:eastAsia="zh-CN"/>
              </w:rPr>
              <w:t>强力巨彩</w:t>
            </w:r>
            <w:bookmarkStart w:id="0" w:name="_GoBack"/>
            <w:bookmarkEnd w:id="0"/>
          </w:p>
        </w:tc>
      </w:tr>
      <w:tr w14:paraId="7ED92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93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9865599">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3FF1">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处理器</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FA23">
            <w:pPr>
              <w:keepNext w:val="0"/>
              <w:keepLines w:val="0"/>
              <w:widowControl/>
              <w:suppressLineNumbers w:val="0"/>
              <w:ind w:firstLine="440" w:firstLineChars="2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1.为方便安装，设备应符合标准机架式结构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2.支持以下输出信号接口：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LAN(RJ45)×8（带网口连接状态指示），支持上下、左右任意拼接；整机最大支持分辨率为1040万像素，支持自定义分辨率，最宽16384像素，最高4320像素.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为方便查看设备工作状态：设备需自带12864液晶屏，可显示设备运行参数与状态，如：设备型号、工作状态心跳、信号源状态、LED屏幕分辨率、亮度等级、网络通讯状态等。支持显示屏亮度设置、窗口属性、输入设置、画面控制、场景设置、高级设置和设备信息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4.支持至少3路信号输入，不低于 3 路 HDMI 2.0、1路HDMI 1.4、1路DP</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5.支持至少2路4K@60HZ的输入分辨率接口。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6.为达到音视频同步切换效果，视频处理器应同时具备常用信号源HDMI、DP、USB音频输入接口，达到音视频同步切换效果。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7.为方便对接音响设备，处理器需自带Audio（PJ35）音频输出。（不得使用多功能卡）（可出具检测报告）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8.为避免因网线故障引起的显示屏显示异常，设备需支持备份功能。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9.为提高设备分辨率兼容性，设备需支持EDID配置管理。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10.为解决输入信号产生的黑边问题，保证满屏显示，设备需具备对任意信号源做任意裁剪/去黑边。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11.为解决画面尺寸缩小限制，保留图像细节，减轻画面放大多倍后产生的失焦现象，设备需支持Super Resolution放大技术及视频补偿处理算法功能。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12.为避免过电压、过电流的冲击，保护输入输出I/O接口，设备需具备通道保护功能，通道间相互独立且彼此互补。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13.为保证显示屏的画质一致性，处理器需支持逐点校正功能。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14.为方便使用，设备需同时支持面板和PC 2种调试方式，支持可查看设备版本号、场景设置、输入设置、支持场景预设、加载、保存、删除和复制功能，场景数不低于8个。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15.为方便使用中快速切换信号，设备需支持快捷切换任意画面信道的功能。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16.支持LED屏幕测试，黑屏、蓝屏、红屏等任意显示切换。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17.支持亮度调节。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18.支持色温调节。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19.支持切换特效：信号源通道与通道之间均支持直切的切换特效。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20.支为方便后期使用，随时随地查看设备状态，设备需支持远程查看运行状态功能。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22.设备需具备网线检测功能，通过指示灯状态判断网线通断问题。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23.为方便调试和使用，处理器旋钮需具备自动精准对位功能（需提供相关证书）。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24.支持编辑定时任务，支持定时切换通道、场景。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25.为防止误操作，导致显示屏参数紊乱，需具备菜单锁功能，锁定后不能进行参数更改，但不影响信道正常切换。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26.为防止误操作，需支持全键锁锁定功能。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27.为保证系统稳定，操作简单方便，以及售后服务统一可靠，控制系统（视频控制器）必须具备优秀的前端视频处理功能，不再另行配置其他品牌或同一品牌下其他型号的视频处理器。控制系统（含视频控制器、独立主控、同步接收卡）及播控系统（含播控软件及服务器）采用同一生产厂家同一品牌产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28.为方便屏幕带载显示，设备网口需支持最长15000点，最高4096点，总点数65万，任意漫游显示。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29.为方便管理使用，设备需自带RJ45网络接口，支持中控协议对接。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30.为兼容不同输入信号的显示，设备需支持HDCP2.0\1.4。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31.正常工作时，噪声不大于45dB(A)(距离 1m处）。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32.设备外壳防护等级符合GB/T 4208-2017中IP20等级的要求。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33.为有效降低设备温度和噪音，设备需支持散热风扇智能管理，可根据温度自动调节转速。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34.为方便播放使用，设备需支持U盘即插即播功能，且支持控制素材播放、暂停、上一个、下一个等。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35.为保障高清显示，设备需支持从输入采集到视频输出或LED显示输出的全链路4K级处理，搭配DP、HDMI超高清4K接口，分辨率可达到4096×2160P@60Hz,RGB4:4:4或YCbCr4:4:4。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36.为配合不同类型屏幕使用，设备需支持通过PC配置软件在线完成固件升级，以及对输出后连设备（接收卡、多功能卡）升级，升级完成后可实时刷新显示设备的固件版本信息。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37.为保障视频同步性，设备需支持视频输入源为60Hz时，视频拼接处理+LED发送部分整体延迟≤16.67ms。</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F3A84F">
            <w:pPr>
              <w:keepNext w:val="0"/>
              <w:keepLines w:val="0"/>
              <w:widowControl/>
              <w:suppressLineNumbers w:val="0"/>
              <w:ind w:firstLine="44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341" w:type="dxa"/>
            <w:gridSpan w:val="2"/>
            <w:tcBorders>
              <w:top w:val="single" w:color="000000" w:sz="4" w:space="0"/>
              <w:left w:val="single" w:color="000000" w:sz="4" w:space="0"/>
              <w:bottom w:val="single" w:color="000000" w:sz="4" w:space="0"/>
              <w:right w:val="nil"/>
            </w:tcBorders>
            <w:shd w:val="clear" w:color="auto" w:fill="auto"/>
            <w:vAlign w:val="center"/>
          </w:tcPr>
          <w:p w14:paraId="7A94B757">
            <w:pPr>
              <w:keepNext w:val="0"/>
              <w:keepLines w:val="0"/>
              <w:widowControl/>
              <w:suppressLineNumbers w:val="0"/>
              <w:ind w:firstLine="440" w:firstLineChars="20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F8C1">
            <w:pPr>
              <w:spacing w:line="240" w:lineRule="auto"/>
              <w:jc w:val="center"/>
              <w:rPr>
                <w:rFonts w:hint="eastAsia" w:ascii="黑体" w:hAnsi="宋体" w:eastAsia="黑体" w:cs="黑体"/>
                <w:i w:val="0"/>
                <w:iCs w:val="0"/>
                <w:color w:val="000000"/>
                <w:sz w:val="24"/>
                <w:szCs w:val="24"/>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7075">
            <w:pPr>
              <w:spacing w:line="240" w:lineRule="auto"/>
              <w:jc w:val="center"/>
              <w:rPr>
                <w:rFonts w:hint="eastAsia" w:ascii="黑体" w:hAnsi="宋体" w:eastAsia="黑体" w:cs="黑体"/>
                <w:i w:val="0"/>
                <w:iCs w:val="0"/>
                <w:color w:val="000000"/>
                <w:sz w:val="24"/>
                <w:szCs w:val="24"/>
                <w:u w:val="none"/>
              </w:rPr>
            </w:pPr>
          </w:p>
        </w:tc>
        <w:tc>
          <w:tcPr>
            <w:tcW w:w="1749" w:type="dxa"/>
            <w:tcBorders>
              <w:top w:val="single" w:color="000000" w:sz="4" w:space="0"/>
              <w:left w:val="single" w:color="000000" w:sz="4" w:space="0"/>
              <w:right w:val="single" w:color="000000" w:sz="8" w:space="0"/>
            </w:tcBorders>
            <w:shd w:val="clear" w:color="auto" w:fill="auto"/>
            <w:vAlign w:val="center"/>
          </w:tcPr>
          <w:p w14:paraId="3543324F">
            <w:pPr>
              <w:keepNext w:val="0"/>
              <w:keepLines w:val="0"/>
              <w:widowControl/>
              <w:suppressLineNumbers w:val="0"/>
              <w:spacing w:line="240" w:lineRule="auto"/>
              <w:ind w:left="0" w:leftChars="0" w:firstLine="0" w:firstLineChars="0"/>
              <w:jc w:val="center"/>
              <w:textAlignment w:val="center"/>
              <w:rPr>
                <w:rFonts w:hint="eastAsia" w:ascii="黑体" w:hAnsi="宋体" w:eastAsia="黑体" w:cs="黑体"/>
                <w:i w:val="0"/>
                <w:iCs w:val="0"/>
                <w:color w:val="000000"/>
                <w:sz w:val="24"/>
                <w:szCs w:val="24"/>
                <w:u w:val="none"/>
                <w:lang w:val="en-US" w:eastAsia="zh-CN"/>
              </w:rPr>
            </w:pPr>
            <w:r>
              <w:rPr>
                <w:rFonts w:hint="eastAsia" w:ascii="黑体" w:hAnsi="宋体" w:eastAsia="黑体" w:cs="黑体"/>
                <w:i w:val="0"/>
                <w:iCs w:val="0"/>
                <w:color w:val="000000"/>
                <w:sz w:val="24"/>
                <w:szCs w:val="24"/>
                <w:u w:val="none"/>
                <w:lang w:val="en-US" w:eastAsia="zh-CN"/>
              </w:rPr>
              <w:t>配套</w:t>
            </w:r>
          </w:p>
        </w:tc>
      </w:tr>
      <w:tr w14:paraId="3252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93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026894C">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5708">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功放音箱</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6874E">
            <w:pPr>
              <w:keepNext w:val="0"/>
              <w:keepLines w:val="0"/>
              <w:widowControl/>
              <w:suppressLineNumbers w:val="0"/>
              <w:ind w:firstLine="440" w:firstLineChars="2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音箱：同轴219A(5寸），安装尺寸175*64mm,产品尺215*74mm  功放：一路话筒输入，一路线路输入，一路线路输出，两路分区输出。其中一路话筒默认优先功能,有高低音调节功能。本产品带有U盘解码功能，支持MP3格式，带蓝牙、收音功能。额定功率：50W。输出形式：1.定压110V   2.定阻4-16欧姆  。频率响应：40Hz-18KHz±0.5dB。电源电压：AC220。体积：220×200×66mm</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8839C">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341" w:type="dxa"/>
            <w:gridSpan w:val="2"/>
            <w:tcBorders>
              <w:top w:val="single" w:color="000000" w:sz="4" w:space="0"/>
              <w:left w:val="single" w:color="000000" w:sz="4" w:space="0"/>
              <w:bottom w:val="single" w:color="000000" w:sz="4" w:space="0"/>
              <w:right w:val="nil"/>
            </w:tcBorders>
            <w:shd w:val="clear" w:color="auto" w:fill="auto"/>
            <w:vAlign w:val="center"/>
          </w:tcPr>
          <w:p w14:paraId="08FD6AFA">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C0CA">
            <w:pPr>
              <w:spacing w:line="240" w:lineRule="auto"/>
              <w:jc w:val="center"/>
              <w:rPr>
                <w:rFonts w:hint="eastAsia" w:ascii="黑体" w:hAnsi="宋体" w:eastAsia="黑体" w:cs="黑体"/>
                <w:i w:val="0"/>
                <w:iCs w:val="0"/>
                <w:color w:val="000000"/>
                <w:sz w:val="24"/>
                <w:szCs w:val="24"/>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09C5F">
            <w:pPr>
              <w:spacing w:line="240" w:lineRule="auto"/>
              <w:jc w:val="center"/>
              <w:rPr>
                <w:rFonts w:hint="eastAsia" w:ascii="黑体" w:hAnsi="宋体" w:eastAsia="黑体" w:cs="黑体"/>
                <w:i w:val="0"/>
                <w:iCs w:val="0"/>
                <w:color w:val="000000"/>
                <w:sz w:val="24"/>
                <w:szCs w:val="24"/>
                <w:u w:val="none"/>
              </w:rPr>
            </w:pPr>
          </w:p>
        </w:tc>
        <w:tc>
          <w:tcPr>
            <w:tcW w:w="1749" w:type="dxa"/>
            <w:tcBorders>
              <w:top w:val="single" w:color="000000" w:sz="4" w:space="0"/>
              <w:left w:val="single" w:color="000000" w:sz="4" w:space="0"/>
              <w:right w:val="single" w:color="000000" w:sz="8" w:space="0"/>
            </w:tcBorders>
            <w:shd w:val="clear" w:color="auto" w:fill="auto"/>
            <w:vAlign w:val="center"/>
          </w:tcPr>
          <w:p w14:paraId="562C2C98">
            <w:pPr>
              <w:keepNext w:val="0"/>
              <w:keepLines w:val="0"/>
              <w:widowControl/>
              <w:suppressLineNumbers w:val="0"/>
              <w:spacing w:line="240" w:lineRule="auto"/>
              <w:ind w:left="0" w:leftChars="0" w:firstLine="0" w:firstLineChars="0"/>
              <w:jc w:val="center"/>
              <w:textAlignment w:val="center"/>
              <w:rPr>
                <w:rFonts w:hint="default" w:ascii="黑体" w:hAnsi="宋体" w:eastAsia="黑体" w:cs="黑体"/>
                <w:i w:val="0"/>
                <w:iCs w:val="0"/>
                <w:color w:val="000000"/>
                <w:sz w:val="24"/>
                <w:szCs w:val="24"/>
                <w:u w:val="none"/>
                <w:lang w:val="en-US" w:eastAsia="zh-CN"/>
              </w:rPr>
            </w:pPr>
            <w:r>
              <w:rPr>
                <w:rFonts w:hint="eastAsia" w:ascii="黑体" w:hAnsi="宋体" w:eastAsia="黑体" w:cs="黑体"/>
                <w:i w:val="0"/>
                <w:iCs w:val="0"/>
                <w:color w:val="000000"/>
                <w:sz w:val="24"/>
                <w:szCs w:val="24"/>
                <w:u w:val="none"/>
                <w:lang w:val="en-US" w:eastAsia="zh-CN"/>
              </w:rPr>
              <w:t>配套</w:t>
            </w:r>
          </w:p>
        </w:tc>
      </w:tr>
      <w:tr w14:paraId="2177B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93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0233AB9">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5E34">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线材</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F776D">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HDMI高清3米，超六类网线400米，音频线60米</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80DEEC">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1341" w:type="dxa"/>
            <w:gridSpan w:val="2"/>
            <w:tcBorders>
              <w:top w:val="single" w:color="000000" w:sz="4" w:space="0"/>
              <w:left w:val="single" w:color="000000" w:sz="4" w:space="0"/>
              <w:bottom w:val="single" w:color="000000" w:sz="4" w:space="0"/>
              <w:right w:val="nil"/>
            </w:tcBorders>
            <w:shd w:val="clear" w:color="auto" w:fill="auto"/>
            <w:vAlign w:val="center"/>
          </w:tcPr>
          <w:p w14:paraId="25DC7E93">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E542">
            <w:pPr>
              <w:spacing w:line="240" w:lineRule="auto"/>
              <w:jc w:val="center"/>
              <w:rPr>
                <w:rFonts w:hint="eastAsia" w:ascii="黑体" w:hAnsi="宋体" w:eastAsia="黑体" w:cs="黑体"/>
                <w:i w:val="0"/>
                <w:iCs w:val="0"/>
                <w:color w:val="000000"/>
                <w:sz w:val="24"/>
                <w:szCs w:val="24"/>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F120">
            <w:pPr>
              <w:spacing w:line="240" w:lineRule="auto"/>
              <w:jc w:val="center"/>
              <w:rPr>
                <w:rFonts w:hint="eastAsia" w:ascii="黑体" w:hAnsi="宋体" w:eastAsia="黑体" w:cs="黑体"/>
                <w:i w:val="0"/>
                <w:iCs w:val="0"/>
                <w:color w:val="000000"/>
                <w:sz w:val="24"/>
                <w:szCs w:val="24"/>
                <w:u w:val="none"/>
              </w:rPr>
            </w:pPr>
          </w:p>
        </w:tc>
        <w:tc>
          <w:tcPr>
            <w:tcW w:w="1749" w:type="dxa"/>
            <w:tcBorders>
              <w:top w:val="single" w:color="000000" w:sz="4" w:space="0"/>
              <w:left w:val="single" w:color="000000" w:sz="4" w:space="0"/>
              <w:right w:val="single" w:color="000000" w:sz="8" w:space="0"/>
            </w:tcBorders>
            <w:shd w:val="clear" w:color="auto" w:fill="auto"/>
            <w:vAlign w:val="center"/>
          </w:tcPr>
          <w:p w14:paraId="5AD49272">
            <w:pPr>
              <w:keepNext w:val="0"/>
              <w:keepLines w:val="0"/>
              <w:widowControl/>
              <w:suppressLineNumbers w:val="0"/>
              <w:spacing w:line="240" w:lineRule="auto"/>
              <w:ind w:left="0" w:leftChars="0" w:firstLine="0" w:firstLineChars="0"/>
              <w:jc w:val="center"/>
              <w:textAlignment w:val="center"/>
              <w:rPr>
                <w:rFonts w:hint="eastAsia" w:ascii="黑体" w:hAnsi="宋体" w:eastAsia="黑体" w:cs="黑体"/>
                <w:i w:val="0"/>
                <w:iCs w:val="0"/>
                <w:color w:val="000000"/>
                <w:sz w:val="24"/>
                <w:szCs w:val="24"/>
                <w:u w:val="none"/>
                <w:lang w:val="en-US" w:eastAsia="zh-CN"/>
              </w:rPr>
            </w:pPr>
            <w:r>
              <w:rPr>
                <w:rFonts w:hint="eastAsia" w:ascii="黑体" w:hAnsi="宋体" w:eastAsia="黑体" w:cs="黑体"/>
                <w:i w:val="0"/>
                <w:iCs w:val="0"/>
                <w:color w:val="000000"/>
                <w:sz w:val="24"/>
                <w:szCs w:val="24"/>
                <w:u w:val="none"/>
                <w:lang w:val="en-US" w:eastAsia="zh-CN"/>
              </w:rPr>
              <w:t>国产</w:t>
            </w:r>
          </w:p>
        </w:tc>
      </w:tr>
      <w:tr w14:paraId="3ABF2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3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DE9F789">
            <w:pPr>
              <w:keepNext w:val="0"/>
              <w:keepLines w:val="0"/>
              <w:widowControl/>
              <w:suppressLineNumbers w:val="0"/>
              <w:spacing w:line="240" w:lineRule="auto"/>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宋体" w:hAnsi="宋体" w:cs="宋体"/>
                <w:i w:val="0"/>
                <w:iCs w:val="0"/>
                <w:color w:val="000000"/>
                <w:kern w:val="0"/>
                <w:sz w:val="20"/>
                <w:szCs w:val="20"/>
                <w:u w:val="none"/>
                <w:lang w:val="en-US" w:eastAsia="zh-CN" w:bidi="ar"/>
              </w:rPr>
              <w:t>5</w:t>
            </w:r>
          </w:p>
        </w:tc>
        <w:tc>
          <w:tcPr>
            <w:tcW w:w="973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7FDD9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元</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79F7">
            <w:pPr>
              <w:rPr>
                <w:rFonts w:hint="eastAsia" w:ascii="宋体" w:hAnsi="宋体" w:eastAsia="宋体" w:cs="宋体"/>
                <w:i w:val="0"/>
                <w:iCs w:val="0"/>
                <w:color w:val="000000"/>
                <w:sz w:val="22"/>
                <w:szCs w:val="22"/>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9A8A">
            <w:pPr>
              <w:rPr>
                <w:rFonts w:hint="eastAsia" w:ascii="宋体" w:hAnsi="宋体" w:eastAsia="宋体" w:cs="宋体"/>
                <w:i w:val="0"/>
                <w:iCs w:val="0"/>
                <w:color w:val="000000"/>
                <w:sz w:val="22"/>
                <w:szCs w:val="22"/>
                <w:u w:val="none"/>
              </w:rPr>
            </w:pPr>
          </w:p>
        </w:tc>
        <w:tc>
          <w:tcPr>
            <w:tcW w:w="174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F7269F">
            <w:pPr>
              <w:rPr>
                <w:rFonts w:hint="eastAsia" w:ascii="宋体" w:hAnsi="宋体" w:eastAsia="宋体" w:cs="宋体"/>
                <w:i w:val="0"/>
                <w:iCs w:val="0"/>
                <w:color w:val="000000"/>
                <w:sz w:val="22"/>
                <w:szCs w:val="22"/>
                <w:u w:val="none"/>
              </w:rPr>
            </w:pPr>
          </w:p>
        </w:tc>
      </w:tr>
      <w:tr w14:paraId="534A4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4760" w:type="dxa"/>
            <w:gridSpan w:val="10"/>
            <w:tcBorders>
              <w:top w:val="single" w:color="000000" w:sz="4" w:space="0"/>
              <w:left w:val="single" w:color="000000" w:sz="8" w:space="0"/>
              <w:bottom w:val="single" w:color="000000" w:sz="4" w:space="0"/>
              <w:right w:val="single" w:color="000000" w:sz="4" w:space="0"/>
            </w:tcBorders>
            <w:shd w:val="clear" w:color="auto" w:fill="auto"/>
            <w:vAlign w:val="center"/>
          </w:tcPr>
          <w:p w14:paraId="17A52CB0">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以上报价含增值税专用发票、运费以及相关服务费用。</w:t>
            </w:r>
          </w:p>
        </w:tc>
      </w:tr>
      <w:tr w14:paraId="50401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9" w:hRule="atLeast"/>
        </w:trPr>
        <w:tc>
          <w:tcPr>
            <w:tcW w:w="2353"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6F21656D">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是否接受保证金</w:t>
            </w:r>
          </w:p>
          <w:p w14:paraId="49CDCB4A">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 xml:space="preserve">（控制价的2%）           </w:t>
            </w:r>
          </w:p>
        </w:tc>
        <w:tc>
          <w:tcPr>
            <w:tcW w:w="5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9B265">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sz w:val="24"/>
                <w:szCs w:val="24"/>
                <w:u w:val="none"/>
              </w:rPr>
            </w:pPr>
            <w:r>
              <w:rPr>
                <w:rFonts w:hint="eastAsia" w:ascii="黑体" w:hAnsi="宋体" w:eastAsia="黑体" w:cs="黑体"/>
                <w:i w:val="0"/>
                <w:iCs w:val="0"/>
                <w:color w:val="FF0000"/>
                <w:kern w:val="0"/>
                <w:sz w:val="24"/>
                <w:szCs w:val="24"/>
                <w:u w:val="none"/>
                <w:lang w:val="en-US" w:eastAsia="zh-CN" w:bidi="ar"/>
              </w:rPr>
              <w:t>必填</w:t>
            </w:r>
          </w:p>
        </w:tc>
        <w:tc>
          <w:tcPr>
            <w:tcW w:w="2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FE90B">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履约保证金</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（成交金额的10%）</w:t>
            </w:r>
          </w:p>
        </w:tc>
        <w:tc>
          <w:tcPr>
            <w:tcW w:w="457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14CE7F14">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必填</w:t>
            </w:r>
          </w:p>
        </w:tc>
      </w:tr>
      <w:tr w14:paraId="3D7B1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353"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216FB1C">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质保期：</w:t>
            </w:r>
          </w:p>
        </w:tc>
        <w:tc>
          <w:tcPr>
            <w:tcW w:w="5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3097FC">
            <w:pPr>
              <w:keepNext w:val="0"/>
              <w:keepLines w:val="0"/>
              <w:widowControl/>
              <w:suppressLineNumbers w:val="0"/>
              <w:ind w:left="0" w:leftChars="0" w:firstLine="0" w:firstLineChars="0"/>
              <w:jc w:val="center"/>
              <w:textAlignment w:val="center"/>
              <w:rPr>
                <w:rFonts w:hint="default"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2年</w:t>
            </w:r>
          </w:p>
        </w:tc>
        <w:tc>
          <w:tcPr>
            <w:tcW w:w="2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26CC29">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税点</w:t>
            </w:r>
          </w:p>
        </w:tc>
        <w:tc>
          <w:tcPr>
            <w:tcW w:w="457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7EEE50E6">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必填</w:t>
            </w:r>
          </w:p>
        </w:tc>
      </w:tr>
      <w:tr w14:paraId="316C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2353" w:type="dxa"/>
            <w:gridSpan w:val="2"/>
            <w:tcBorders>
              <w:top w:val="single" w:color="000000" w:sz="4" w:space="0"/>
              <w:left w:val="single" w:color="000000" w:sz="8" w:space="0"/>
              <w:bottom w:val="single" w:color="000000" w:sz="8" w:space="0"/>
              <w:right w:val="single" w:color="000000" w:sz="4" w:space="0"/>
            </w:tcBorders>
            <w:shd w:val="clear" w:color="auto" w:fill="auto"/>
            <w:vAlign w:val="center"/>
          </w:tcPr>
          <w:p w14:paraId="25FA2C11">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 xml:space="preserve">供货期：             </w:t>
            </w:r>
          </w:p>
        </w:tc>
        <w:tc>
          <w:tcPr>
            <w:tcW w:w="5070" w:type="dxa"/>
            <w:gridSpan w:val="2"/>
            <w:tcBorders>
              <w:top w:val="single" w:color="000000" w:sz="4" w:space="0"/>
              <w:left w:val="single" w:color="000000" w:sz="4" w:space="0"/>
              <w:bottom w:val="single" w:color="000000" w:sz="8" w:space="0"/>
              <w:right w:val="single" w:color="000000" w:sz="4" w:space="0"/>
            </w:tcBorders>
            <w:shd w:val="clear" w:color="auto" w:fill="auto"/>
            <w:vAlign w:val="center"/>
          </w:tcPr>
          <w:p w14:paraId="4C104885">
            <w:pPr>
              <w:keepNext w:val="0"/>
              <w:keepLines w:val="0"/>
              <w:widowControl/>
              <w:suppressLineNumbers w:val="0"/>
              <w:ind w:left="0" w:leftChars="0" w:firstLine="0" w:firstLineChars="0"/>
              <w:jc w:val="center"/>
              <w:textAlignment w:val="center"/>
              <w:rPr>
                <w:rFonts w:hint="default"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7天</w:t>
            </w:r>
          </w:p>
        </w:tc>
        <w:tc>
          <w:tcPr>
            <w:tcW w:w="2759" w:type="dxa"/>
            <w:gridSpan w:val="2"/>
            <w:tcBorders>
              <w:top w:val="single" w:color="000000" w:sz="4" w:space="0"/>
              <w:left w:val="single" w:color="000000" w:sz="4" w:space="0"/>
              <w:bottom w:val="single" w:color="000000" w:sz="8" w:space="0"/>
              <w:right w:val="single" w:color="000000" w:sz="4" w:space="0"/>
            </w:tcBorders>
            <w:shd w:val="clear" w:color="auto" w:fill="auto"/>
            <w:vAlign w:val="center"/>
          </w:tcPr>
          <w:p w14:paraId="44130005">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付款方式</w:t>
            </w:r>
          </w:p>
        </w:tc>
        <w:tc>
          <w:tcPr>
            <w:tcW w:w="4578" w:type="dxa"/>
            <w:gridSpan w:val="4"/>
            <w:tcBorders>
              <w:top w:val="single" w:color="000000" w:sz="4" w:space="0"/>
              <w:left w:val="single" w:color="000000" w:sz="4" w:space="0"/>
              <w:bottom w:val="single" w:color="000000" w:sz="8" w:space="0"/>
              <w:right w:val="single" w:color="000000" w:sz="8" w:space="0"/>
            </w:tcBorders>
            <w:shd w:val="clear" w:color="auto" w:fill="auto"/>
            <w:vAlign w:val="center"/>
          </w:tcPr>
          <w:p w14:paraId="79A80FE1">
            <w:pPr>
              <w:keepNext w:val="0"/>
              <w:keepLines w:val="0"/>
              <w:widowControl/>
              <w:suppressLineNumbers w:val="0"/>
              <w:ind w:left="0" w:leftChars="0" w:firstLine="0" w:firstLineChars="0"/>
              <w:jc w:val="left"/>
              <w:textAlignment w:val="center"/>
              <w:rPr>
                <w:rFonts w:hint="eastAsia" w:ascii="黑体" w:hAnsi="宋体" w:eastAsia="黑体" w:cs="黑体"/>
                <w:i w:val="0"/>
                <w:iCs w:val="0"/>
                <w:color w:val="FF0000"/>
                <w:sz w:val="24"/>
                <w:szCs w:val="24"/>
                <w:u w:val="none"/>
              </w:rPr>
            </w:pPr>
            <w:r>
              <w:rPr>
                <w:rFonts w:hint="eastAsia" w:ascii="黑体" w:hAnsi="宋体" w:eastAsia="黑体" w:cs="黑体"/>
                <w:i w:val="0"/>
                <w:iCs w:val="0"/>
                <w:color w:val="FF0000"/>
                <w:kern w:val="0"/>
                <w:sz w:val="24"/>
                <w:szCs w:val="24"/>
                <w:u w:val="none"/>
                <w:lang w:val="en-US" w:eastAsia="zh-CN" w:bidi="ar"/>
              </w:rPr>
              <w:t>合同签订后预付合同价的30%，货到安装调试验收合格后3个月内付清尾款。</w:t>
            </w:r>
          </w:p>
        </w:tc>
      </w:tr>
    </w:tbl>
    <w:p w14:paraId="7E6B29F3">
      <w:pPr>
        <w:ind w:left="0" w:leftChars="0" w:firstLine="0" w:firstLineChars="0"/>
        <w:rPr>
          <w:rFonts w:hint="eastAsia"/>
          <w:lang w:val="en-US" w:eastAsia="zh-CN"/>
        </w:rPr>
        <w:sectPr>
          <w:pgSz w:w="16838" w:h="11906" w:orient="landscape"/>
          <w:pgMar w:top="1800" w:right="1440" w:bottom="1800" w:left="1440" w:header="851" w:footer="992" w:gutter="0"/>
          <w:cols w:space="425" w:num="1"/>
          <w:docGrid w:type="lines" w:linePitch="312" w:charSpace="0"/>
        </w:sectPr>
      </w:pPr>
    </w:p>
    <w:p w14:paraId="736DD848">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5DCC46EE">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40244F07">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68DA160E">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E10A11">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79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67B26D8">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4F859A5B">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A0FAF6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015E3BA">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3F016BE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1B0C59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4C7E905E">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792F09F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2C1CD82F">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7F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3A6D1E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8C318B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2CAC66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061BDC9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4751C2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9D2DB02">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E2CAB67">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933049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60C0B83">
            <w:pPr>
              <w:pStyle w:val="17"/>
              <w:spacing w:line="340" w:lineRule="exact"/>
              <w:ind w:left="0" w:leftChars="0" w:firstLine="0" w:firstLineChars="0"/>
              <w:jc w:val="both"/>
              <w:rPr>
                <w:rFonts w:hint="eastAsia" w:ascii="仿宋" w:hAnsi="仿宋" w:eastAsia="仿宋" w:cs="仿宋"/>
                <w:color w:val="auto"/>
                <w:sz w:val="24"/>
                <w:szCs w:val="24"/>
              </w:rPr>
            </w:pPr>
          </w:p>
        </w:tc>
      </w:tr>
      <w:tr w14:paraId="2AF0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E75CE76">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D7DB82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4E3AB6B">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8449117">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74562F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8D434D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8C047A5">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7AF166E">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3B8B6B9">
            <w:pPr>
              <w:pStyle w:val="17"/>
              <w:spacing w:line="340" w:lineRule="exact"/>
              <w:ind w:left="0" w:leftChars="0" w:firstLine="0" w:firstLineChars="0"/>
              <w:jc w:val="both"/>
              <w:rPr>
                <w:rFonts w:hint="eastAsia" w:ascii="仿宋" w:hAnsi="仿宋" w:eastAsia="仿宋" w:cs="仿宋"/>
                <w:color w:val="auto"/>
                <w:sz w:val="24"/>
                <w:szCs w:val="24"/>
              </w:rPr>
            </w:pPr>
          </w:p>
        </w:tc>
      </w:tr>
      <w:tr w14:paraId="3B6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64B1B09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E728A3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57E142D">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8832CF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4A5EF19E">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3694D25">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641483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5D26F8">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E6F90D6">
            <w:pPr>
              <w:pStyle w:val="17"/>
              <w:spacing w:line="340" w:lineRule="exact"/>
              <w:ind w:left="0" w:leftChars="0" w:firstLine="0" w:firstLineChars="0"/>
              <w:jc w:val="both"/>
              <w:rPr>
                <w:rFonts w:hint="eastAsia" w:ascii="仿宋" w:hAnsi="仿宋" w:eastAsia="仿宋" w:cs="仿宋"/>
                <w:color w:val="auto"/>
                <w:sz w:val="24"/>
                <w:szCs w:val="24"/>
              </w:rPr>
            </w:pPr>
          </w:p>
        </w:tc>
      </w:tr>
      <w:tr w14:paraId="494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7506967">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F2A747D">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576A0A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F44857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8689BE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FFA3F3E">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61E444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6A25C03">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E7B2805">
            <w:pPr>
              <w:pStyle w:val="17"/>
              <w:spacing w:line="340" w:lineRule="exact"/>
              <w:ind w:left="0" w:leftChars="0" w:firstLine="0" w:firstLineChars="0"/>
              <w:jc w:val="both"/>
              <w:rPr>
                <w:rFonts w:hint="eastAsia" w:ascii="仿宋" w:hAnsi="仿宋" w:eastAsia="仿宋" w:cs="仿宋"/>
                <w:color w:val="auto"/>
                <w:sz w:val="24"/>
                <w:szCs w:val="24"/>
              </w:rPr>
            </w:pPr>
          </w:p>
        </w:tc>
      </w:tr>
      <w:tr w14:paraId="5CE7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DC9E2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4F5A1D9">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EF187E9">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578D3A6">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BCC4F2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39698E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8373D5D">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0582C7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642C8EE">
            <w:pPr>
              <w:pStyle w:val="17"/>
              <w:spacing w:line="340" w:lineRule="exact"/>
              <w:ind w:left="0" w:leftChars="0" w:firstLine="0" w:firstLineChars="0"/>
              <w:jc w:val="both"/>
              <w:rPr>
                <w:rFonts w:hint="eastAsia" w:ascii="仿宋" w:hAnsi="仿宋" w:eastAsia="仿宋" w:cs="仿宋"/>
                <w:color w:val="auto"/>
                <w:sz w:val="24"/>
                <w:szCs w:val="24"/>
              </w:rPr>
            </w:pPr>
          </w:p>
        </w:tc>
      </w:tr>
      <w:tr w14:paraId="3C4B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BB829E">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034D59B">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DFDD83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6AE7C619">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4E7F10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D46CC99">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E0856B6">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70AE16">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A779C09">
            <w:pPr>
              <w:pStyle w:val="17"/>
              <w:spacing w:line="340" w:lineRule="exact"/>
              <w:ind w:left="0" w:leftChars="0" w:firstLine="0" w:firstLineChars="0"/>
              <w:jc w:val="both"/>
              <w:rPr>
                <w:rFonts w:hint="eastAsia" w:ascii="仿宋" w:hAnsi="仿宋" w:eastAsia="仿宋" w:cs="仿宋"/>
                <w:color w:val="auto"/>
                <w:sz w:val="24"/>
                <w:szCs w:val="24"/>
              </w:rPr>
            </w:pPr>
          </w:p>
        </w:tc>
      </w:tr>
      <w:tr w14:paraId="322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66A3D74">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085D7CE">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E2535A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495384BE">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6D8ABD1">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7FC2180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0C45981">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3186B45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4EB0CBA0">
            <w:pPr>
              <w:pStyle w:val="17"/>
              <w:spacing w:line="340" w:lineRule="exact"/>
              <w:ind w:left="0" w:leftChars="0" w:firstLine="0" w:firstLineChars="0"/>
              <w:jc w:val="both"/>
              <w:rPr>
                <w:rFonts w:hint="eastAsia" w:ascii="仿宋" w:hAnsi="仿宋" w:eastAsia="仿宋" w:cs="仿宋"/>
                <w:color w:val="auto"/>
                <w:sz w:val="24"/>
                <w:szCs w:val="24"/>
              </w:rPr>
            </w:pPr>
          </w:p>
        </w:tc>
      </w:tr>
      <w:tr w14:paraId="161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7DA60C9E">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4A9E597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7776C62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39E15F42">
      <w:pPr>
        <w:tabs>
          <w:tab w:val="left" w:pos="480"/>
        </w:tabs>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1、付款条件:合同签订后预付合同价的30%，货到安装调试验收合格后3个月内付清尾款。注：付款时供应商须提供正规发票（因发票问题而导致无法正常付款的，责任由供应商自己承担）。</w:t>
      </w:r>
    </w:p>
    <w:p w14:paraId="50D36E2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2、付款形式：银行转账。</w:t>
      </w:r>
    </w:p>
    <w:p w14:paraId="0DD93EB7">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1）甲方账户信息：</w:t>
      </w:r>
    </w:p>
    <w:p w14:paraId="0AB5850F">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户名：江苏省淮安市保安服务有限公司</w:t>
      </w:r>
    </w:p>
    <w:p w14:paraId="215289D9">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开户银行：中国建设银行淮安分行营业部</w:t>
      </w:r>
    </w:p>
    <w:p w14:paraId="1D1461EB">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账号：32001728636050797351</w:t>
      </w:r>
    </w:p>
    <w:p w14:paraId="711C5813">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2）乙方账户信息：</w:t>
      </w:r>
    </w:p>
    <w:p w14:paraId="65E964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收款户名：</w:t>
      </w:r>
    </w:p>
    <w:p w14:paraId="213B0009">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w:t>
      </w:r>
    </w:p>
    <w:p w14:paraId="74337E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开户行：</w:t>
      </w:r>
    </w:p>
    <w:p w14:paraId="27AF7028">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4301387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60B2DF0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420E4A5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0514182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A809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3C4937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3D56A8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326F98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3713184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60A0F09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7D40C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24601ED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0EC3EB9C">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747AD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EA06F3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2、本合同项下产品质保期为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年，以设备验收单签字确认起算。甲方使用设</w:t>
      </w:r>
      <w:r>
        <w:rPr>
          <w:rFonts w:hint="eastAsia" w:ascii="仿宋" w:hAnsi="仿宋" w:eastAsia="仿宋" w:cs="仿宋"/>
          <w:color w:val="auto"/>
          <w:sz w:val="24"/>
          <w:szCs w:val="24"/>
          <w:lang w:val="en-US" w:eastAsia="zh-CN"/>
        </w:rPr>
        <w:t>备发生质量问题，甲方有权要求乙方在 4 小时内响应并进行电话说明，同时对问题产品在当日进行退货、更换、维修手续，保证 3 日内恢复正常使用功能，并承担由此产生所有的费用。</w:t>
      </w:r>
    </w:p>
    <w:p w14:paraId="746F824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263A56D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3F2CAD3B">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2F33A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E98EC2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14490C3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755111B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444E79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0EEED08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16226F8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3C95343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73CE195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16F4FBF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CFEC88F">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20D1D77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39E6175">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1BF83F9B">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4899644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1D5D93BD">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6E3EB1F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7E7E731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76728DB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10D360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6D119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65774B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506F43B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1DF5D161">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070B3987">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01BA42C4">
      <w:pPr>
        <w:ind w:left="0" w:leftChars="0" w:firstLine="0" w:firstLineChars="0"/>
      </w:pPr>
    </w:p>
    <w:p w14:paraId="2CEEC135"/>
    <w:p w14:paraId="3DC037E7"/>
    <w:p w14:paraId="1C34B3F6"/>
    <w:sectPr>
      <w:pgSz w:w="11906" w:h="16838"/>
      <w:pgMar w:top="1701" w:right="1587" w:bottom="1587" w:left="1587" w:header="851" w:footer="992" w:gutter="0"/>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D23242"/>
    <w:rsid w:val="00F471B2"/>
    <w:rsid w:val="012A4E2C"/>
    <w:rsid w:val="01413809"/>
    <w:rsid w:val="020D7BB0"/>
    <w:rsid w:val="02635986"/>
    <w:rsid w:val="02BD280C"/>
    <w:rsid w:val="02BD7BE0"/>
    <w:rsid w:val="03626CD0"/>
    <w:rsid w:val="03BB36BB"/>
    <w:rsid w:val="04741F2A"/>
    <w:rsid w:val="058E7D29"/>
    <w:rsid w:val="06E65ABA"/>
    <w:rsid w:val="07CC21FA"/>
    <w:rsid w:val="08193505"/>
    <w:rsid w:val="082F30B8"/>
    <w:rsid w:val="0886108C"/>
    <w:rsid w:val="09DB488A"/>
    <w:rsid w:val="09FE7C7D"/>
    <w:rsid w:val="0A443009"/>
    <w:rsid w:val="0B7A032D"/>
    <w:rsid w:val="0BC2638F"/>
    <w:rsid w:val="0BDC6B78"/>
    <w:rsid w:val="0C882A07"/>
    <w:rsid w:val="0CD142BE"/>
    <w:rsid w:val="0D681C76"/>
    <w:rsid w:val="0D78696A"/>
    <w:rsid w:val="0DBF30C4"/>
    <w:rsid w:val="0DD96789"/>
    <w:rsid w:val="0F0F7410"/>
    <w:rsid w:val="100159F1"/>
    <w:rsid w:val="10275305"/>
    <w:rsid w:val="10941E2C"/>
    <w:rsid w:val="115C3F6A"/>
    <w:rsid w:val="133B07D3"/>
    <w:rsid w:val="138B678C"/>
    <w:rsid w:val="13A43BC7"/>
    <w:rsid w:val="144B0B25"/>
    <w:rsid w:val="14F94AB5"/>
    <w:rsid w:val="157C124F"/>
    <w:rsid w:val="15B405D8"/>
    <w:rsid w:val="16B37629"/>
    <w:rsid w:val="173B2189"/>
    <w:rsid w:val="17CE6EF3"/>
    <w:rsid w:val="185D2018"/>
    <w:rsid w:val="1870435E"/>
    <w:rsid w:val="18B65219"/>
    <w:rsid w:val="193251CA"/>
    <w:rsid w:val="1959078F"/>
    <w:rsid w:val="1A48720E"/>
    <w:rsid w:val="1B811C42"/>
    <w:rsid w:val="1B96686D"/>
    <w:rsid w:val="1C1414B5"/>
    <w:rsid w:val="1C44694B"/>
    <w:rsid w:val="1CB642A6"/>
    <w:rsid w:val="1CBE542C"/>
    <w:rsid w:val="1E434544"/>
    <w:rsid w:val="1F444EB4"/>
    <w:rsid w:val="1F741D8C"/>
    <w:rsid w:val="1FC0011B"/>
    <w:rsid w:val="1FF000D2"/>
    <w:rsid w:val="1FF040AD"/>
    <w:rsid w:val="200C3464"/>
    <w:rsid w:val="207E3019"/>
    <w:rsid w:val="23B60935"/>
    <w:rsid w:val="245503E6"/>
    <w:rsid w:val="24874408"/>
    <w:rsid w:val="24883CAD"/>
    <w:rsid w:val="24BF2D95"/>
    <w:rsid w:val="259D1AFE"/>
    <w:rsid w:val="25BA7F75"/>
    <w:rsid w:val="25DE44B5"/>
    <w:rsid w:val="264801BD"/>
    <w:rsid w:val="267537D8"/>
    <w:rsid w:val="26A67AF4"/>
    <w:rsid w:val="27933CD9"/>
    <w:rsid w:val="27B75BEB"/>
    <w:rsid w:val="28126BBF"/>
    <w:rsid w:val="281D45C6"/>
    <w:rsid w:val="292E08DE"/>
    <w:rsid w:val="29E622D3"/>
    <w:rsid w:val="29F3727E"/>
    <w:rsid w:val="2A225DF1"/>
    <w:rsid w:val="2ABD22DA"/>
    <w:rsid w:val="2B4C1D3B"/>
    <w:rsid w:val="2B6A410E"/>
    <w:rsid w:val="2B9E5DD1"/>
    <w:rsid w:val="2C761843"/>
    <w:rsid w:val="2D4E2C33"/>
    <w:rsid w:val="2DC647A7"/>
    <w:rsid w:val="2E1B2848"/>
    <w:rsid w:val="2E342253"/>
    <w:rsid w:val="2E9574DA"/>
    <w:rsid w:val="2FA05CF7"/>
    <w:rsid w:val="300D6BCC"/>
    <w:rsid w:val="31140310"/>
    <w:rsid w:val="315D4719"/>
    <w:rsid w:val="318F1FBE"/>
    <w:rsid w:val="339B7C29"/>
    <w:rsid w:val="345319C9"/>
    <w:rsid w:val="376D4D35"/>
    <w:rsid w:val="37A7439E"/>
    <w:rsid w:val="37CA2BC5"/>
    <w:rsid w:val="37F03342"/>
    <w:rsid w:val="38544E55"/>
    <w:rsid w:val="39963E4D"/>
    <w:rsid w:val="3B0F7CBC"/>
    <w:rsid w:val="3B275F4B"/>
    <w:rsid w:val="3B6E698C"/>
    <w:rsid w:val="3E015FF2"/>
    <w:rsid w:val="3E4F32EC"/>
    <w:rsid w:val="3E5157CB"/>
    <w:rsid w:val="3E6D1EE0"/>
    <w:rsid w:val="40130CAF"/>
    <w:rsid w:val="40490B34"/>
    <w:rsid w:val="420E65EA"/>
    <w:rsid w:val="42321856"/>
    <w:rsid w:val="42BF1B92"/>
    <w:rsid w:val="42FA2EB4"/>
    <w:rsid w:val="435E2995"/>
    <w:rsid w:val="43966372"/>
    <w:rsid w:val="43CC52F4"/>
    <w:rsid w:val="44EF43A5"/>
    <w:rsid w:val="46AE2EAA"/>
    <w:rsid w:val="47D32116"/>
    <w:rsid w:val="48832749"/>
    <w:rsid w:val="493C6A78"/>
    <w:rsid w:val="49AB2DE5"/>
    <w:rsid w:val="4A0D21C2"/>
    <w:rsid w:val="4A0E06F8"/>
    <w:rsid w:val="4B1A7BD1"/>
    <w:rsid w:val="4BB038DA"/>
    <w:rsid w:val="4C73767A"/>
    <w:rsid w:val="4D030046"/>
    <w:rsid w:val="4D871781"/>
    <w:rsid w:val="4E802F1D"/>
    <w:rsid w:val="4EF042FA"/>
    <w:rsid w:val="4FAF448B"/>
    <w:rsid w:val="50417986"/>
    <w:rsid w:val="50F73FA0"/>
    <w:rsid w:val="515E18DF"/>
    <w:rsid w:val="51765D9A"/>
    <w:rsid w:val="517D0941"/>
    <w:rsid w:val="521C7398"/>
    <w:rsid w:val="52446C35"/>
    <w:rsid w:val="52690B60"/>
    <w:rsid w:val="527E16D3"/>
    <w:rsid w:val="52C14E18"/>
    <w:rsid w:val="5316709E"/>
    <w:rsid w:val="534B7B17"/>
    <w:rsid w:val="549E59E1"/>
    <w:rsid w:val="56E07198"/>
    <w:rsid w:val="57221F02"/>
    <w:rsid w:val="57960F83"/>
    <w:rsid w:val="57DB3B40"/>
    <w:rsid w:val="58733762"/>
    <w:rsid w:val="590772D6"/>
    <w:rsid w:val="59D75C73"/>
    <w:rsid w:val="5B1E56C5"/>
    <w:rsid w:val="5BBF6D32"/>
    <w:rsid w:val="5C02364F"/>
    <w:rsid w:val="5C4A6C71"/>
    <w:rsid w:val="5CA61E20"/>
    <w:rsid w:val="5D9E05A7"/>
    <w:rsid w:val="5DF96E76"/>
    <w:rsid w:val="5E0F059C"/>
    <w:rsid w:val="5EB9237C"/>
    <w:rsid w:val="5F0458F0"/>
    <w:rsid w:val="5FE226DD"/>
    <w:rsid w:val="60C33852"/>
    <w:rsid w:val="61547E11"/>
    <w:rsid w:val="61852A60"/>
    <w:rsid w:val="62567581"/>
    <w:rsid w:val="631F4682"/>
    <w:rsid w:val="63D4721D"/>
    <w:rsid w:val="64467711"/>
    <w:rsid w:val="64E752C4"/>
    <w:rsid w:val="65F729C7"/>
    <w:rsid w:val="66934D57"/>
    <w:rsid w:val="66A27154"/>
    <w:rsid w:val="66A65625"/>
    <w:rsid w:val="66A80E51"/>
    <w:rsid w:val="677551D7"/>
    <w:rsid w:val="698D373B"/>
    <w:rsid w:val="69FD1FFD"/>
    <w:rsid w:val="6A2B5BCA"/>
    <w:rsid w:val="6A3C6480"/>
    <w:rsid w:val="6AA75C6E"/>
    <w:rsid w:val="6B450D98"/>
    <w:rsid w:val="6BB31049"/>
    <w:rsid w:val="6BF15785"/>
    <w:rsid w:val="6CF430F2"/>
    <w:rsid w:val="6D3C0639"/>
    <w:rsid w:val="6DB96BEC"/>
    <w:rsid w:val="6F321DFD"/>
    <w:rsid w:val="6F575DD1"/>
    <w:rsid w:val="70155795"/>
    <w:rsid w:val="702E6762"/>
    <w:rsid w:val="70314EAA"/>
    <w:rsid w:val="706B3AE0"/>
    <w:rsid w:val="70A15D8A"/>
    <w:rsid w:val="71270FB3"/>
    <w:rsid w:val="71A60F8F"/>
    <w:rsid w:val="71E07B02"/>
    <w:rsid w:val="71F66174"/>
    <w:rsid w:val="72C34258"/>
    <w:rsid w:val="73CE218C"/>
    <w:rsid w:val="74AA472D"/>
    <w:rsid w:val="768165E1"/>
    <w:rsid w:val="79DA1D09"/>
    <w:rsid w:val="7A182199"/>
    <w:rsid w:val="7A644061"/>
    <w:rsid w:val="7AE1770B"/>
    <w:rsid w:val="7B114A31"/>
    <w:rsid w:val="7D0F483D"/>
    <w:rsid w:val="7E004848"/>
    <w:rsid w:val="7E37366F"/>
    <w:rsid w:val="7E9A56AD"/>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 w:type="character" w:customStyle="1" w:styleId="50">
    <w:name w:val="font132"/>
    <w:basedOn w:val="26"/>
    <w:qFormat/>
    <w:uiPriority w:val="0"/>
    <w:rPr>
      <w:rFonts w:hint="eastAsia" w:ascii="黑体" w:hAnsi="宋体" w:eastAsia="黑体" w:cs="黑体"/>
      <w:b/>
      <w:bCs/>
      <w:color w:val="FF0000"/>
      <w:sz w:val="24"/>
      <w:szCs w:val="24"/>
      <w:u w:val="none"/>
    </w:rPr>
  </w:style>
  <w:style w:type="character" w:customStyle="1" w:styleId="51">
    <w:name w:val="font41"/>
    <w:basedOn w:val="26"/>
    <w:qFormat/>
    <w:uiPriority w:val="0"/>
    <w:rPr>
      <w:rFonts w:hint="eastAsia" w:ascii="黑体" w:hAnsi="宋体" w:eastAsia="黑体" w:cs="黑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6741</Words>
  <Characters>7428</Characters>
  <Lines>0</Lines>
  <Paragraphs>0</Paragraphs>
  <TotalTime>2</TotalTime>
  <ScaleCrop>false</ScaleCrop>
  <LinksUpToDate>false</LinksUpToDate>
  <CharactersWithSpaces>8129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2023-11-07T01:59:00Z</cp:lastPrinted>
  <dcterms:modified xsi:type="dcterms:W3CDTF">2026-01-20T02:41:21Z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0242252FF01248BF8B570A3F4B7DCBDD_13</vt:lpwstr>
  </property>
  <property fmtid="{D5CDD505-2E9C-101B-9397-08002B2CF9AE}" pid="4" name="KSOTemplateDocerSaveRecord">
    <vt:lpwstr>eyJoZGlkIjoiZTQ1OTZmYzM2YzAwODNiN2ZkMTU5ZDg3NDgwNWQ3ODgiLCJ1c2VySWQiOiIyNTgzMzMwOTYifQ==</vt:lpwstr>
  </property>
</Properties>
</file>