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背景音乐</w:t>
      </w:r>
      <w:r>
        <w:rPr>
          <w:rFonts w:hint="eastAsia" w:ascii="宋体" w:hAnsi="宋体" w:eastAsia="宋体" w:cs="宋体"/>
          <w:b/>
          <w:i w:val="0"/>
          <w:iCs w:val="0"/>
          <w:color w:val="000000"/>
          <w:kern w:val="0"/>
          <w:sz w:val="48"/>
          <w:szCs w:val="48"/>
          <w:u w:val="none"/>
          <w:lang w:val="en-US" w:eastAsia="zh-CN" w:bidi="ar"/>
        </w:rPr>
        <w:t>设备采购询价文件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5D587BE7">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40056CD3">
      <w:pPr>
        <w:pStyle w:val="15"/>
        <w:rPr>
          <w:rFonts w:hint="eastAsia"/>
        </w:rPr>
        <w:sectPr>
          <w:pgSz w:w="11906" w:h="16838"/>
          <w:pgMar w:top="1440" w:right="1800" w:bottom="1440" w:left="1800" w:header="851" w:footer="992" w:gutter="0"/>
          <w:cols w:space="425" w:num="1"/>
          <w:docGrid w:type="lines" w:linePitch="312" w:charSpace="0"/>
        </w:sectPr>
      </w:pPr>
    </w:p>
    <w:p w14:paraId="775733F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2.3、营业执照（加盖公章）</w:t>
      </w:r>
    </w:p>
    <w:p w14:paraId="20F86524">
      <w:pPr>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p>
    <w:p w14:paraId="212B4548">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2.4、供应商代理证明或原厂授权（加盖公章）</w:t>
      </w:r>
    </w:p>
    <w:tbl>
      <w:tblPr>
        <w:tblStyle w:val="24"/>
        <w:tblW w:w="143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0"/>
        <w:gridCol w:w="1725"/>
        <w:gridCol w:w="4390"/>
        <w:gridCol w:w="964"/>
        <w:gridCol w:w="990"/>
        <w:gridCol w:w="1981"/>
        <w:gridCol w:w="990"/>
        <w:gridCol w:w="985"/>
        <w:gridCol w:w="1500"/>
      </w:tblGrid>
      <w:tr w14:paraId="62D1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325" w:type="dxa"/>
            <w:gridSpan w:val="9"/>
            <w:tcBorders>
              <w:top w:val="nil"/>
              <w:left w:val="nil"/>
              <w:bottom w:val="nil"/>
              <w:right w:val="nil"/>
            </w:tcBorders>
            <w:shd w:val="clear" w:color="auto" w:fill="auto"/>
            <w:vAlign w:val="center"/>
          </w:tcPr>
          <w:p w14:paraId="4A045A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17901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E08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40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4B0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5456" w:type="dxa"/>
            <w:gridSpan w:val="4"/>
            <w:tcBorders>
              <w:top w:val="single" w:color="000000" w:sz="4" w:space="0"/>
              <w:left w:val="nil"/>
              <w:bottom w:val="single" w:color="000000" w:sz="4" w:space="0"/>
              <w:right w:val="single" w:color="000000" w:sz="4" w:space="0"/>
            </w:tcBorders>
            <w:shd w:val="clear" w:color="auto" w:fill="auto"/>
            <w:noWrap/>
            <w:vAlign w:val="center"/>
          </w:tcPr>
          <w:p w14:paraId="116308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6F216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DED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BF5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C18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5456" w:type="dxa"/>
            <w:gridSpan w:val="4"/>
            <w:tcBorders>
              <w:top w:val="single" w:color="000000" w:sz="4" w:space="0"/>
              <w:left w:val="nil"/>
              <w:bottom w:val="single" w:color="000000" w:sz="4" w:space="0"/>
              <w:right w:val="single" w:color="000000" w:sz="4" w:space="0"/>
            </w:tcBorders>
            <w:shd w:val="clear" w:color="auto" w:fill="auto"/>
            <w:noWrap/>
            <w:vAlign w:val="center"/>
          </w:tcPr>
          <w:p w14:paraId="45F23E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88F5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3E1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CB9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328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456" w:type="dxa"/>
            <w:gridSpan w:val="4"/>
            <w:tcBorders>
              <w:top w:val="single" w:color="000000" w:sz="4" w:space="0"/>
              <w:left w:val="nil"/>
              <w:bottom w:val="single" w:color="000000" w:sz="4" w:space="0"/>
              <w:right w:val="single" w:color="000000" w:sz="4" w:space="0"/>
            </w:tcBorders>
            <w:shd w:val="clear" w:color="auto" w:fill="auto"/>
            <w:noWrap/>
            <w:vAlign w:val="center"/>
          </w:tcPr>
          <w:p w14:paraId="4BA97E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652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758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7A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F33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456" w:type="dxa"/>
            <w:gridSpan w:val="4"/>
            <w:tcBorders>
              <w:top w:val="single" w:color="000000" w:sz="4" w:space="0"/>
              <w:left w:val="nil"/>
              <w:bottom w:val="single" w:color="000000" w:sz="4" w:space="0"/>
              <w:right w:val="single" w:color="000000" w:sz="4" w:space="0"/>
            </w:tcBorders>
            <w:shd w:val="clear" w:color="auto" w:fill="auto"/>
            <w:noWrap/>
            <w:vAlign w:val="center"/>
          </w:tcPr>
          <w:p w14:paraId="183B7A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C33B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449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6C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678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5456" w:type="dxa"/>
            <w:gridSpan w:val="4"/>
            <w:tcBorders>
              <w:top w:val="single" w:color="000000" w:sz="4" w:space="0"/>
              <w:left w:val="nil"/>
              <w:bottom w:val="single" w:color="000000" w:sz="4" w:space="0"/>
              <w:right w:val="single" w:color="000000" w:sz="4" w:space="0"/>
            </w:tcBorders>
            <w:shd w:val="clear" w:color="auto" w:fill="auto"/>
            <w:noWrap/>
            <w:vAlign w:val="center"/>
          </w:tcPr>
          <w:p w14:paraId="467F61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211F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F01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37E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3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906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4C6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A23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94A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推荐品牌</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F8B8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BD4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备注所投品牌型号</w:t>
            </w:r>
          </w:p>
        </w:tc>
      </w:tr>
      <w:tr w14:paraId="55FA7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19D9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2D4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3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3BD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D90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A0B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00B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98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93D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9FCC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A97F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DD1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734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控制主机</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245D">
            <w:pPr>
              <w:keepNext w:val="0"/>
              <w:keepLines w:val="0"/>
              <w:widowControl/>
              <w:suppressLineNumbers w:val="0"/>
              <w:ind w:firstLine="480"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1.采用工控机机箱设计，具有LED液晶显示屏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2.支持≥1路短路触发开机接口，用于实现定时驱动开机运行。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3.具有≥8×USB接口、≥6×串口接口、≥2×千兆网口。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4.配置等同或优于4核 4线程 3.2GHz处理器。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5.设备支持≥1路VGA、≥1路HDMI输出接口。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6.支持操作系统配置通电自动开机、定时自动开机，定时自动关机功能。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7.内置抽拉键盘、内置触控鼠标面板+左右按键设计，支持通过USB接口外接鼠标键盘。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8.支持录音存储功能，可在后台自定义设置录音文件保存路径。</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3CB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D93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F62C">
            <w:pPr>
              <w:ind w:left="0" w:leftChars="0" w:firstLine="0" w:firstLineChars="0"/>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9A5F">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F8A5A">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38979914">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07F11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62C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846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数字化IP网络广播管理软件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AAB2">
            <w:pPr>
              <w:keepNext w:val="0"/>
              <w:keepLines w:val="0"/>
              <w:widowControl/>
              <w:suppressLineNumbers w:val="0"/>
              <w:ind w:firstLine="480"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软件是整个系统的运行核心，统一管理系统内所有音频终端，包括寻呼话筒、对讲终端、广播终端和消防接口设备，实时显示音频终端的IP地址、在线状态、任务状态、音量运行状态。2.支撑各音频终端的运行，负责音频流传输管理，响应各音频终端播放请求和音频全双工交换，支持B/S架构，通过网页登陆可进行终端管理、用户管理、节目播放管理、音频文件管理、录音存贮、内部通讯调度处理功能。3.管理节目库资源，为所有音频终端器提供定时播放和实时点播媒体服务，响应各终端的节目播放请求，为各音频工作站提供数据接口服务。4.提供全双工语音数据交换，响应各对讲终端的呼叫和通话请求，支持一键呼叫、一键对讲、一键求助、一键报警通话模式，支持自动接听、手动接听，支持自定义接听提示音。5.支持多种呼叫策略，包括无响应转移、占线转移、关机转移，支持时间策略和转移策略自定义设置。支持设置对讲终端呼叫策略，可自定义通话时间0-180S或不受限，可选择是否自动接听，支持自定义选择来电铃声与等待铃声。6.支持终端短路输入联动触发，可任意设置联动触发方案和触发终端数量，触发方案包括短路输出、音乐播放、巡更警报。7.编程定时任务，支持编程多套定时方案，支持选择任意终端和设置任意时间；支持定时任务执行测试、设置重复周期。支持定时任务多种音源选择（音乐播放、声卡采集、终端采集）。</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FDF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EDE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55B8">
            <w:pPr>
              <w:ind w:left="0" w:leftChars="0"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3E5DE">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7CFD">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DA93A25">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73B36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A6B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97F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前置放大器</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3018">
            <w:pPr>
              <w:keepNext w:val="0"/>
              <w:keepLines w:val="0"/>
              <w:widowControl/>
              <w:suppressLineNumbers w:val="0"/>
              <w:ind w:firstLine="480"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1具有≥5路话筒（MIC）输入，≥3路标准信号线路（AUX）输入，≥2路紧急线路（EMC）输入；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2.MIC 5具有最高优先、强行切入优先功能；MIC 5和EMC最高优先权限功能可通过拔动开关交替选择；3.紧急输入线路具有二级优先，强行切入优先功能；4.MIC1.2.3.4.5 和≥2路紧急输入（EMC）通道均附设有线路辅助输入接口功能；5.具有默音深度调节旋钮和EMC输入增益调节旋钮。</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672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89C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8DB9">
            <w:pPr>
              <w:ind w:left="0" w:leftChars="0"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21F3">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A533">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16C646BD">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2C184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11F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B9E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IP音频采集器</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B0AF">
            <w:pPr>
              <w:keepNext w:val="0"/>
              <w:keepLines w:val="0"/>
              <w:widowControl/>
              <w:suppressLineNumbers w:val="0"/>
              <w:ind w:firstLine="480"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集设备支持将模拟音频采集编码成数字音频，具有≥1路RJ45网络接口，支持定时采播任务、临时采播任务功能。2.具有≥2组RCA音频输入接口，支持音量调节功能。3.采播任务支持≥3种采集音质可选，支持普通、中级、高级音质选择模式。4.支持声压触发采集外部音源，智能识别音频,自动建立采集任务,可自定义执行区域,可自定义延时关闭时间。</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42E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2B8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FEBD">
            <w:pPr>
              <w:ind w:left="0" w:leftChars="0"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AF26">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05D1">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4CF7F5E8">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70380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4"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B24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D5F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合并式播放器</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5FA0">
            <w:pPr>
              <w:keepNext w:val="0"/>
              <w:keepLines w:val="0"/>
              <w:widowControl/>
              <w:suppressLineNumbers w:val="0"/>
              <w:ind w:firstLine="480"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1.设备采用机柜式设计。2.内置USB接口/SD卡槽、CD机芯和收音机、蓝牙≥四种音源，CD播放和MP3播放共用一个通道输出，收音机、蓝牙共用一个通道输出。3.CD采用吸入式机芯；收音机采用收音模块； 调频、调幅（AM/FM）立体声二波段接收可选，电台频率记忆存储≥99个。4.具备有≥1路USB接口、≥1路SD卡槽口、≥1路收音FM天线口、≥2路音频输出接口。5.带红外遥控功能，并能够独立遥控音量控制。</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0DB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5C6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EBB9">
            <w:pPr>
              <w:ind w:left="0" w:leftChars="0"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6FFE5">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7C9C">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0360CCD1">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2E8A3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C7B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39A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话筒</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946B">
            <w:pPr>
              <w:keepNext w:val="0"/>
              <w:keepLines w:val="0"/>
              <w:widowControl/>
              <w:suppressLineNumbers w:val="0"/>
              <w:ind w:firstLine="480"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1.换能方式：驻极体；2.钟声提示：带钟声提示功能；3.线材配备：10米（卡农母头转6.35音频线）；4.咪杆长度 ：420mm；5.具备有灯环提示功能</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64F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FF31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8142">
            <w:pPr>
              <w:ind w:left="0" w:leftChars="0"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E4C0">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5BA6">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8CD6C9E">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22A62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2"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4E1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BCE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寻呼话筒</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6173">
            <w:pPr>
              <w:keepNext w:val="0"/>
              <w:keepLines w:val="0"/>
              <w:widowControl/>
              <w:suppressLineNumbers w:val="0"/>
              <w:ind w:firstLine="480"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话筒桌面式设计，带有显示屏，带触摸控制功能；显示屏自带数字键、功能键，支持通过触摸呼叫广播，支持呼叫分区及多个分区，呼叫全区广播；可支持≥10个按键自定义一键呼叫广播功能。2.内置≥1路网络硬件音频解码模块，具有≥1路RJ45网络接口，≥100Mbps传输速率。3.支持监听任意终端功能，内置≥2W全频扬声器，实现双向通话和网络监听。4.具有≥1路音频线路输入接口，支持采集播放功能；具有≥1路音频线路输出接口，可外接功率放大器。5.支持直接操作呼叫或对讲任意终端，支持通过话筒广播呼叫功能，广播延时≤100ms。</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883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B96F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2300">
            <w:pPr>
              <w:ind w:left="0" w:leftChars="0"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3250">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9EF0C">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7955306E">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62F2C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6"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4D0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0CA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话筒呼叫控制嵌入软件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68CB">
            <w:pPr>
              <w:keepNext w:val="0"/>
              <w:keepLines w:val="0"/>
              <w:widowControl/>
              <w:suppressLineNumbers w:val="0"/>
              <w:ind w:firstLine="480"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软件内嵌于话筒设备，实现话筒呼叫控制功能，支撑设备各项基本功能的运行。2.授权操作管理功能，支持服务器统一配置管理用户及密码。3.支持新配置注册智能语音提示功能。4.支持多种呼叫策略，包括呼叫转移、呼叫等待、无人接听提醒等。5.支持双向对讲功能，可与另一方对讲终端实现双向语音传输功能。6.可实现分区/全区进行喊话/广播功能。7.支持单独调节音量。</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B9C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BE7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47C0">
            <w:pPr>
              <w:ind w:left="0" w:leftChars="0"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DEC7">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ADCA">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6CFFBDF">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6E568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4B0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663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IP网络音箱</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43A7">
            <w:pPr>
              <w:keepNext w:val="0"/>
              <w:keepLines w:val="0"/>
              <w:widowControl/>
              <w:suppressLineNumbers w:val="0"/>
              <w:ind w:firstLine="480"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内置≥1路网络硬件音频解码模块,具有≥1路RJ45网络接口，≥100Mbps传输速率。2.支持≥1路音频线路输入接口，具有独立的音量调节功能。3.设备集成有数字功放，功率≥2×20W（MAX），≥1路接主音箱，≥1路外接到副音箱。4.内置≥2级优先级功能设计：(1)AUX与网络背景音乐信号同级，混音输出。(2)网络报警信号优先AUX与网络背景音乐信号。5.支持IPv6、IPv4网络协议。</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3AF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AEA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1BC2">
            <w:pPr>
              <w:ind w:left="0" w:leftChars="0"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0611">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AF14">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E2B1263">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5ED5D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FD0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ACE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IP有源音箱扩声软件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420D">
            <w:pPr>
              <w:keepNext w:val="0"/>
              <w:keepLines w:val="0"/>
              <w:widowControl/>
              <w:suppressLineNumbers w:val="0"/>
              <w:ind w:firstLine="480" w:firstLineChars="2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软件内嵌于IP有源音箱扩声终端设备，支撑设备各项基本功能的运行。2.嵌入DSP音频处理技术，高保真解码音频文件；支持远程点播功能，支持节目播放。3.支持新配置注册智能语音提示功能。4.支持播放背景音乐功能，支持单独调节音量。5.支持播放本地服务器的MP3文件；支持单独播放或分区/全区播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9F9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D9A1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9170">
            <w:pPr>
              <w:ind w:left="0" w:leftChars="0" w:firstLine="0" w:firstLineChars="0"/>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E44A">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B508">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45E1E4F">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190F0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9C8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FEB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电源管理器</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6E67">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1.机柜式设计，黑色氧化铝拉丝面板；2.支持≥16路电源输出，具有≥14个AC220V(10A)，≥2个AC220V(16A)接口， 电源插口总容量达≥6KVA；3.设有船型开关，可手动控制≥16个电源上断电；也可与定时器、智能控制器相连接，实现自动控制；支持配置CH1和CH2通道为受控或不受控状态。4.有≥1路24V消防信号输入接口；≥1路消防短路报警触发信号输出。</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0D6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F87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1B08">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97CD">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66FB1">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1F92424E">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5CD76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354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1FB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采集器</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DAB1">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设备采用嵌入式计算机技术和DSP音频处理技术设计。2.16路消防短路信号输入，可无限扩展输入接口，方便更大的系统使用。3.面板支持一键取消任务。4.标配网络接口，全速率连接最高可达100M。5.支持广播系统对终端进行远程固件升级，无需到终端本地升级，减轻维护人员工作强度。6.网络接口：标准RJ45输入7.传输速率：100Mbps8.支持协议：TCP/IP、UDP、IGMP（组播）9.短路接口：工业标准压线接线端子</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7416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FA9C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D54D">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B88B">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F9F4">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3A0DB205">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46CEE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569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0C93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消防语音系统软件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002C">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1.软件内嵌于消防语音系统主机设备，支撑设备各项基本功能的运行。2.支持分区监听、设备状态实时查看。3.实现对设备的控制、信号切换。</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221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CFC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B638">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1FBA">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F7D9">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7787AF8C">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448D8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FBD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E408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IP网络广播系统分控软件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03B2">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1.数字客户端分控软件运行于Windows操作系统的台式电脑或笔记本电脑（兼容(win7-win10、server2008或更高版本)），用户登陆通过系统服务器的权限验证即可进行对广播系统的控制。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2.客户端软件利用网络（局域网、广域网）远程登录到服务器，支持多套客户端软件同时登录到服务器，各套客户端软件独立工作。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3.可实现终端状态查看、音频播放、监听、广播及对讲、会话状态监控等功能。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4.支持实时查看终端工作状态、音量、任务，并且可在终端状态界面设置终端音量。</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7C3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F02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DDB3">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F72B">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947B">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E0BAFA2">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7F2C7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60F1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289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寻呼话筒</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4961">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采用话筒桌面式设计，带有显示屏，带触摸控制功能；显示屏自带数字键、功能键，支持通过触摸呼叫广播，支持呼叫分区及多个分区，呼叫全区广播；可支持≥10个按键自定义一键呼叫广播功能。2.内置≥1路网络硬件音频解码模块，具有≥1路RJ45网络接口，≥100Mbps传输速率。3.支持监听任意终端功能，内置≥2W全频扬声器，实现双向通话和网络监听。4.具有≥1路音频线路输入接口，支持采集播放功能；具有≥1路音频线路输出接口，可外接功率放大器。5.支持直接操作呼叫或对讲任意终端，支持通过话筒广播呼叫功能，广播延时≤100ms。6.支持多种呼叫策略，包括无响应转移、占线转移、关机转移，支持自定义接听提示音，支持转移时间、无人接听时间、呼叫等待时间自定义。7.具有≥1个3.5耳机接口、≥1路3.5话筒输入接口。8.具有≥1路短路输出接口、≥1路短路输入接口。</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211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E4F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5C88">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0D0B">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59276">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3F3FB2F">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57693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7E7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E705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话筒呼叫控制嵌入软件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DB6D">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软件内嵌于话筒设备，实现话筒呼叫控制功能，支撑设备各项基本功能的运行。2.授权操作管理功能，支持服务器统一配置管理用户及密码。3.支持新配置注册智能语音提示功能。4.支持多种呼叫策略，包括呼叫转移、呼叫等待、无人接听提醒等。5.支持双向对讲功能，可与另一方对讲终端实现双向语音传输功能。6.可实现分区/全区进行喊话/广播功能。7.支持单独调节音量。</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E67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9C23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F85C0">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48E3">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6294">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33B6F75">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1DCF1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A9E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2D1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IP网络功放终端</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82F46">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设备采用标准≥19英寸机架设计，带有LCD显示屏。2.内置≥1路网络硬件音频解码模块。3.支持≥1路线路输入和≥1路话筒输入接口，可独立调节音量。4.支持高低音调节电位器控制。5.具有≥1路EMC输入接口，具有最高优先级。6.具有≥1路音频输出接口。7.具有≥1路三线制强切输出接口，无需强切电源。8.集成数字功放，功率≥240W；支持定压方式输出。9.支持通过后台软件对终端进行远程固件升级。10.具有≥1路RJ45网络接口，≥100Mbps传输速率。11.自带≥1路≥100V定压功率备份输入接口，可组成一主多备、多主一备、多主多备的公共打铃系统。12.内置主备切换检测模块，断网断电以及本机故障时≤0.3秒内切换到备份功率输入，主备切换过程无卡顿、不掉字</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E5C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806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3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B7C1">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EAD0">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D0A2">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461DA5D">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74099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5C59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679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数字IP网络平台终端嵌入软件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0A7A">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软件内嵌于数字IP网络平台终端设备，支撑设备各项基本功能的运行。2.嵌入DSP音频处理技术，高保真解码音频文件；支持远程点播功能，支持节目播放。3.支持新配置注册智能语音提示功能。4.支持播放背景音乐功能，支持单独调节音量。5.支持播放本地服务器的MP3文件；支持单独播放或分区/全区播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59A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93C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3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FC28">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FF8AD">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02A0">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204A3585">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20CBB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A04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2A8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IP网络功放终端</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517C">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设备采用标准≥19英寸机架设计，带有LCD显示屏。2.内置≥1路网络硬件音频解码模块。3.支持≥1路线路输入和≥1路话筒输入接口，可独立调节音量。4.支持高低音调节电位器控制。5.具有≥1路EMC输入接口，具有最高优先级。6.具有≥1路音频输出接口。7.具有≥1路三线制强切输出接口，无需强切电源。8.集成数字功放，功率≥650W；支持定压方式输出。9.支持通过后台软件对终端进行远程固件升级。10.具有≥1路RJ45网络接口，≥100Mbps传输速率。11.自带≥1路≥100V定压功率备份输入接口，可组成一主多备、多主一备、多主多备的公共打铃系统。12.内置主备切换</w:t>
            </w:r>
            <w:bookmarkStart w:id="0" w:name="_GoBack"/>
            <w:bookmarkEnd w:id="0"/>
            <w:r>
              <w:rPr>
                <w:rFonts w:hint="eastAsia" w:ascii="宋体" w:hAnsi="宋体" w:eastAsia="宋体" w:cs="宋体"/>
                <w:i w:val="0"/>
                <w:iCs w:val="0"/>
                <w:color w:val="000000"/>
                <w:kern w:val="0"/>
                <w:sz w:val="24"/>
                <w:szCs w:val="24"/>
                <w:u w:val="none"/>
                <w:lang w:val="en-US" w:eastAsia="zh-CN" w:bidi="ar"/>
              </w:rPr>
              <w:t>检测模块，断网断电以及本机故障时≤0.3秒内切换到备份功率输入，主备切换过程无卡顿、不掉字</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E6D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1D2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 xml:space="preserve">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B8D1">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086F">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EB10">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41B49F8">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10492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1"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4D4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11D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数字IP网络平台终端嵌入软件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6F35">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软件内嵌于数字IP网络平台终端设备，支撑设备各项基本功能的运行。2.嵌入DSP音频处理技术，高保真解码音频文件；支持远程点播功能，支持节目播放。3.支持新配置注册智能语音提示功能。4.支持播放背景音乐功能，支持单独调节音量。5.支持播放本地服务器的MP3文件；支持单独播放或分区/全区播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4C8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1968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F867">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CBCA">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C5FF">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4BFDD81A">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23540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F63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AA5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IP终端</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9DF0">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设备采用≥19英寸机架设计，带有LCD显示屏。2.具有≥1路线路输入接口和≥1路话筒输入接口，可独立调节音量；支持高低音调节电位器控制。3.具有≥1路EMC输入接口，具有最高优先级；具有≥1路音频输出接口。4.具有≥2路三线制强切输出接口，无需强切电源。5.支持≥2路电源输出插座，内置智能电源管理，无音乐或呼叫时，自动切断输出座电源，有信号时自动打开输出座电源。</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E59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5F49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A77B">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A808">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1F55">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1A1692B2">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0EAF0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739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6A3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数字化IP网络终端嵌入软件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50413">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软件内嵌于数字化IP网络终端设备，支撑设备各项基本功能的运行。2.嵌入DSP音频处理技术，高保真解码音频文件；支持远程点播功能，支持节目播放。3.支持新配置注册智能语音提示功能4.支持播放背景音乐功能，支持单独调节音量。5.支持播放本地服务器的MP3文件；支持单独播放或分区/全区播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6F1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897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7DCB">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F0B7">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F02F">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2C0ECBF0">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18CCF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881C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610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前置放大器</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98BA">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1具有≥5路话筒（MIC）输入，≥3路标准信号线路（AUX）输入，≥2路紧急线路（EMC）输入；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2.MIC 5具有最高优先、强行切入优先功能；MIC 5和EMC最高优先权限功能可通过拔动开关交替选择；3.紧急输入线路具有二级优先，强行切入优先功能；4.MIC1.2.3.4.5 和≥2路紧急输入（EMC）通道均附设有线路辅助输入接口功能；5.具有默音深度调节旋钮和EMC输入增益调节旋钮。</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EC7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29B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A895">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37D7">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597A">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3F6D0679">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3E6C7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B448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461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纯后级功放</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79E8">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采用D类数字功放技术，功率放大电路设计2.额定输出功率：≥1500W3.具有管道式散热结构，内置自动温度控制风扇冷却系统。4.具有≥1通道LINE不平衡TRS/XLR高品质多功能输入接口，≥1通道LINE平衡XLR级联输出。5.内置PFC电路和软开关电源技术，开关机自动软启动控制。6.功放电路，零交越失真。7.内置智能削顶失真和过流压限系统，能保护扬声器单元。8.具有过温、过压、欠压、过流、短路多重智能检测保护系统。9.具有2种定阻和定压输出模式:4-16Ω/100V可选择。</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9FB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06E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6C02">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8430">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3B73">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52096F5D">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63D98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60B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6E2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天花喇叭</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ADA0">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1．额定功率（100V）：3W,6W2．额定功率（70V）：1.5W,3W3．灵敏度≥89dB4．频率响应（-10dB）：100Hz-16KHz5．喇叭单元：5"x1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AE3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7A19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58</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6130A">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65A0">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5E47">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643E504F">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73096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2683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FAE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壁挂音箱</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5C24">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1．额定功率（100V）：3W,6W,10W2．额定功率（70V）：1.5W,3W,5W3．灵敏度：91dB±3dB4．频率响应：130Hz-18KHz5．喇叭单元：6.5"×16．防护等级：IP5X</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C3C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75E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4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5A64">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29D20">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8217">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09000B2C">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0E505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C84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C56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草地音箱</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FC8B">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功率(100V)：15W, 30W2. 功率(70V)：7.5W, 15W3．频率响应：120Hz-16KHz4．灵敏度≥96dB5．喇叭单元：5.5″6．防护等级：IP66</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7B8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E82C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62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7043">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3034">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EEA8">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2E35454F">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417A4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1"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C7E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B90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音柱</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E6A8">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1．额定功率(100V)：30W；2．额定功率(70V)：15W；3．灵敏度≥89dB；4．频率响应：110Hz-15KHz；5．防护等级：IP66；6．喇叭单元：6.5"×1+3"×1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5FE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97E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28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3760">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海康威视、广州保伦电子ITC、广州迪士普DSPPA、上海旗胜BGM</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2701B">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932FA">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06844B9A">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57BDB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BAD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0EE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音频连接线</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E6E1">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1.8米音频连接线：莲花（RCA）-莲花（RCA）</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89D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0AA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C548">
            <w:pPr>
              <w:ind w:left="0" w:leftChars="0" w:firstLine="0" w:firstLineChars="0"/>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sz w:val="24"/>
                <w:szCs w:val="24"/>
                <w:u w:val="none"/>
                <w:lang w:val="en-US" w:eastAsia="zh-CN"/>
              </w:rPr>
              <w:t>国产优质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683B">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449E">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02B97E47">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1D060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AF35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4F5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音频连接线</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704B">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1.8米音频连接线：莲花（RCA）-6.35话筒插头</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9FB2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FECF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 </w:t>
            </w:r>
          </w:p>
        </w:tc>
        <w:tc>
          <w:tcPr>
            <w:tcW w:w="1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3D59">
            <w:pPr>
              <w:ind w:left="0" w:leftChars="0" w:firstLine="0" w:firstLineChars="0"/>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sz w:val="24"/>
                <w:szCs w:val="24"/>
                <w:u w:val="none"/>
                <w:lang w:val="en-US" w:eastAsia="zh-CN"/>
              </w:rPr>
              <w:t>国产优质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DB1A3">
            <w:pPr>
              <w:jc w:val="center"/>
              <w:rPr>
                <w:rFonts w:hint="eastAsia" w:ascii="宋体" w:hAnsi="宋体" w:eastAsia="宋体" w:cs="宋体"/>
                <w:i w:val="0"/>
                <w:iCs w:val="0"/>
                <w:color w:val="000000"/>
                <w:sz w:val="24"/>
                <w:szCs w:val="24"/>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A23CA">
            <w:pP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color="auto" w:fill="auto"/>
            <w:vAlign w:val="center"/>
          </w:tcPr>
          <w:p w14:paraId="2AE49B90">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14:paraId="4760C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F3C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31</w:t>
            </w:r>
          </w:p>
        </w:tc>
        <w:tc>
          <w:tcPr>
            <w:tcW w:w="110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8C5F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1" name="Text_Box_5"/>
                  <wp:cNvGraphicFramePr/>
                  <a:graphic xmlns:a="http://schemas.openxmlformats.org/drawingml/2006/main">
                    <a:graphicData uri="http://schemas.openxmlformats.org/drawingml/2006/picture">
                      <pic:pic xmlns:pic="http://schemas.openxmlformats.org/drawingml/2006/picture">
                        <pic:nvPicPr>
                          <pic:cNvPr id="21"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9" name="Text_Box_9"/>
                  <wp:cNvGraphicFramePr/>
                  <a:graphic xmlns:a="http://schemas.openxmlformats.org/drawingml/2006/main">
                    <a:graphicData uri="http://schemas.openxmlformats.org/drawingml/2006/picture">
                      <pic:pic xmlns:pic="http://schemas.openxmlformats.org/drawingml/2006/picture">
                        <pic:nvPicPr>
                          <pic:cNvPr id="19" name="Text_Box_9"/>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0" name="Text_Box_5_SpCnt_1"/>
                  <wp:cNvGraphicFramePr/>
                  <a:graphic xmlns:a="http://schemas.openxmlformats.org/drawingml/2006/main">
                    <a:graphicData uri="http://schemas.openxmlformats.org/drawingml/2006/picture">
                      <pic:pic xmlns:pic="http://schemas.openxmlformats.org/drawingml/2006/picture">
                        <pic:nvPicPr>
                          <pic:cNvPr id="20" name="Text_Box_5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2" name="Text_Box_9_SpCnt_1"/>
                  <wp:cNvGraphicFramePr/>
                  <a:graphic xmlns:a="http://schemas.openxmlformats.org/drawingml/2006/main">
                    <a:graphicData uri="http://schemas.openxmlformats.org/drawingml/2006/picture">
                      <pic:pic xmlns:pic="http://schemas.openxmlformats.org/drawingml/2006/picture">
                        <pic:nvPicPr>
                          <pic:cNvPr id="12" name="Text_Box_9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6" name="Text_Box_12"/>
                  <wp:cNvGraphicFramePr/>
                  <a:graphic xmlns:a="http://schemas.openxmlformats.org/drawingml/2006/main">
                    <a:graphicData uri="http://schemas.openxmlformats.org/drawingml/2006/picture">
                      <pic:pic xmlns:pic="http://schemas.openxmlformats.org/drawingml/2006/picture">
                        <pic:nvPicPr>
                          <pic:cNvPr id="16" name="Text_Box_1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3" name="Text_Box_10"/>
                  <wp:cNvGraphicFramePr/>
                  <a:graphic xmlns:a="http://schemas.openxmlformats.org/drawingml/2006/main">
                    <a:graphicData uri="http://schemas.openxmlformats.org/drawingml/2006/picture">
                      <pic:pic xmlns:pic="http://schemas.openxmlformats.org/drawingml/2006/picture">
                        <pic:nvPicPr>
                          <pic:cNvPr id="13" name="Text_Box_10"/>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5" name="Text_Box_9_SpCnt_2"/>
                  <wp:cNvGraphicFramePr/>
                  <a:graphic xmlns:a="http://schemas.openxmlformats.org/drawingml/2006/main">
                    <a:graphicData uri="http://schemas.openxmlformats.org/drawingml/2006/picture">
                      <pic:pic xmlns:pic="http://schemas.openxmlformats.org/drawingml/2006/picture">
                        <pic:nvPicPr>
                          <pic:cNvPr id="15" name="Text_Box_9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7" name="Text_Box_7"/>
                  <wp:cNvGraphicFramePr/>
                  <a:graphic xmlns:a="http://schemas.openxmlformats.org/drawingml/2006/main">
                    <a:graphicData uri="http://schemas.openxmlformats.org/drawingml/2006/picture">
                      <pic:pic xmlns:pic="http://schemas.openxmlformats.org/drawingml/2006/picture">
                        <pic:nvPicPr>
                          <pic:cNvPr id="17" name="Text_Box_7"/>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8" name="Text_Box_5_SpCnt_2"/>
                  <wp:cNvGraphicFramePr/>
                  <a:graphic xmlns:a="http://schemas.openxmlformats.org/drawingml/2006/main">
                    <a:graphicData uri="http://schemas.openxmlformats.org/drawingml/2006/picture">
                      <pic:pic xmlns:pic="http://schemas.openxmlformats.org/drawingml/2006/picture">
                        <pic:nvPicPr>
                          <pic:cNvPr id="18" name="Text_Box_5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4" name="Text_Box_14"/>
                  <wp:cNvGraphicFramePr/>
                  <a:graphic xmlns:a="http://schemas.openxmlformats.org/drawingml/2006/main">
                    <a:graphicData uri="http://schemas.openxmlformats.org/drawingml/2006/picture">
                      <pic:pic xmlns:pic="http://schemas.openxmlformats.org/drawingml/2006/picture">
                        <pic:nvPicPr>
                          <pic:cNvPr id="14" name="Text_Box_14"/>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2" name="Text_Box_12_SpCnt_1"/>
                  <wp:cNvGraphicFramePr/>
                  <a:graphic xmlns:a="http://schemas.openxmlformats.org/drawingml/2006/main">
                    <a:graphicData uri="http://schemas.openxmlformats.org/drawingml/2006/picture">
                      <pic:pic xmlns:pic="http://schemas.openxmlformats.org/drawingml/2006/picture">
                        <pic:nvPicPr>
                          <pic:cNvPr id="22" name="Text_Box_12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3" name="Text_Box_7_SpCnt_1"/>
                  <wp:cNvGraphicFramePr/>
                  <a:graphic xmlns:a="http://schemas.openxmlformats.org/drawingml/2006/main">
                    <a:graphicData uri="http://schemas.openxmlformats.org/drawingml/2006/picture">
                      <pic:pic xmlns:pic="http://schemas.openxmlformats.org/drawingml/2006/picture">
                        <pic:nvPicPr>
                          <pic:cNvPr id="23" name="Text_Box_7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4" name="Text_Box_10_SpCnt_1"/>
                  <wp:cNvGraphicFramePr/>
                  <a:graphic xmlns:a="http://schemas.openxmlformats.org/drawingml/2006/main">
                    <a:graphicData uri="http://schemas.openxmlformats.org/drawingml/2006/picture">
                      <pic:pic xmlns:pic="http://schemas.openxmlformats.org/drawingml/2006/picture">
                        <pic:nvPicPr>
                          <pic:cNvPr id="24" name="Text_Box_10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8" name="Text_Box_5_SpCnt_3"/>
                  <wp:cNvGraphicFramePr/>
                  <a:graphic xmlns:a="http://schemas.openxmlformats.org/drawingml/2006/main">
                    <a:graphicData uri="http://schemas.openxmlformats.org/drawingml/2006/picture">
                      <pic:pic xmlns:pic="http://schemas.openxmlformats.org/drawingml/2006/picture">
                        <pic:nvPicPr>
                          <pic:cNvPr id="8" name="Text_Box_5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6" name="Text_Box_14_SpCnt_1"/>
                  <wp:cNvGraphicFramePr/>
                  <a:graphic xmlns:a="http://schemas.openxmlformats.org/drawingml/2006/main">
                    <a:graphicData uri="http://schemas.openxmlformats.org/drawingml/2006/picture">
                      <pic:pic xmlns:pic="http://schemas.openxmlformats.org/drawingml/2006/picture">
                        <pic:nvPicPr>
                          <pic:cNvPr id="6" name="Text_Box_14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1" name="Text_Box_12_SpCnt_2"/>
                  <wp:cNvGraphicFramePr/>
                  <a:graphic xmlns:a="http://schemas.openxmlformats.org/drawingml/2006/main">
                    <a:graphicData uri="http://schemas.openxmlformats.org/drawingml/2006/picture">
                      <pic:pic xmlns:pic="http://schemas.openxmlformats.org/drawingml/2006/picture">
                        <pic:nvPicPr>
                          <pic:cNvPr id="11" name="Text_Box_12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4" name="Text_Box_10_SpCnt_2"/>
                  <wp:cNvGraphicFramePr/>
                  <a:graphic xmlns:a="http://schemas.openxmlformats.org/drawingml/2006/main">
                    <a:graphicData uri="http://schemas.openxmlformats.org/drawingml/2006/picture">
                      <pic:pic xmlns:pic="http://schemas.openxmlformats.org/drawingml/2006/picture">
                        <pic:nvPicPr>
                          <pic:cNvPr id="4" name="Text_Box_10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5" name="Text_Box_9_SpCnt_3"/>
                  <wp:cNvGraphicFramePr/>
                  <a:graphic xmlns:a="http://schemas.openxmlformats.org/drawingml/2006/main">
                    <a:graphicData uri="http://schemas.openxmlformats.org/drawingml/2006/picture">
                      <pic:pic xmlns:pic="http://schemas.openxmlformats.org/drawingml/2006/picture">
                        <pic:nvPicPr>
                          <pic:cNvPr id="5" name="Text_Box_9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7" name="Text_Box_14_SpCnt_2"/>
                  <wp:cNvGraphicFramePr/>
                  <a:graphic xmlns:a="http://schemas.openxmlformats.org/drawingml/2006/main">
                    <a:graphicData uri="http://schemas.openxmlformats.org/drawingml/2006/picture">
                      <pic:pic xmlns:pic="http://schemas.openxmlformats.org/drawingml/2006/picture">
                        <pic:nvPicPr>
                          <pic:cNvPr id="7" name="Text_Box_14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9" name="Text_Box_7_SpCnt_2"/>
                  <wp:cNvGraphicFramePr/>
                  <a:graphic xmlns:a="http://schemas.openxmlformats.org/drawingml/2006/main">
                    <a:graphicData uri="http://schemas.openxmlformats.org/drawingml/2006/picture">
                      <pic:pic xmlns:pic="http://schemas.openxmlformats.org/drawingml/2006/picture">
                        <pic:nvPicPr>
                          <pic:cNvPr id="9" name="Text_Box_7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2" name="Text_Box_12_SpCnt_3"/>
                  <wp:cNvGraphicFramePr/>
                  <a:graphic xmlns:a="http://schemas.openxmlformats.org/drawingml/2006/main">
                    <a:graphicData uri="http://schemas.openxmlformats.org/drawingml/2006/picture">
                      <pic:pic xmlns:pic="http://schemas.openxmlformats.org/drawingml/2006/picture">
                        <pic:nvPicPr>
                          <pic:cNvPr id="2" name="Text_Box_12_SpCnt_3"/>
                          <pic:cNvPicPr/>
                        </pic:nvPicPr>
                        <pic:blipFill>
                          <a:blip r:embed="rId9"/>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3" name="Text_Box_7_SpCnt_3"/>
                  <wp:cNvGraphicFramePr/>
                  <a:graphic xmlns:a="http://schemas.openxmlformats.org/drawingml/2006/main">
                    <a:graphicData uri="http://schemas.openxmlformats.org/drawingml/2006/picture">
                      <pic:pic xmlns:pic="http://schemas.openxmlformats.org/drawingml/2006/picture">
                        <pic:nvPicPr>
                          <pic:cNvPr id="3" name="Text_Box_7_SpCnt_3"/>
                          <pic:cNvPicPr/>
                        </pic:nvPicPr>
                        <pic:blipFill>
                          <a:blip r:embed="rId10"/>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6038850</wp:posOffset>
                  </wp:positionH>
                  <wp:positionV relativeFrom="paragraph">
                    <wp:posOffset>0</wp:posOffset>
                  </wp:positionV>
                  <wp:extent cx="152400" cy="161925"/>
                  <wp:effectExtent l="0" t="0" r="0" b="0"/>
                  <wp:wrapNone/>
                  <wp:docPr id="10" name="Text_Box_10_SpCnt_3"/>
                  <wp:cNvGraphicFramePr/>
                  <a:graphic xmlns:a="http://schemas.openxmlformats.org/drawingml/2006/main">
                    <a:graphicData uri="http://schemas.openxmlformats.org/drawingml/2006/picture">
                      <pic:pic xmlns:pic="http://schemas.openxmlformats.org/drawingml/2006/picture">
                        <pic:nvPicPr>
                          <pic:cNvPr id="10" name="Text_Box_10_SpCnt_3"/>
                          <pic:cNvPicPr/>
                        </pic:nvPicPr>
                        <pic:blipFill>
                          <a:blip r:embed="rId11"/>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元</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FF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4"/>
                <w:szCs w:val="24"/>
                <w:u w:val="none"/>
                <w:bdr w:val="single" w:color="000000" w:sz="4" w:space="0"/>
                <w:lang w:val="en-US" w:eastAsia="zh-CN" w:bidi="ar"/>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89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4"/>
                <w:szCs w:val="24"/>
                <w:u w:val="none"/>
                <w:bdr w:val="single" w:color="000000" w:sz="4" w:space="0"/>
                <w:lang w:val="en-US" w:eastAsia="zh-CN" w:bidi="ar"/>
              </w:rPr>
            </w:pPr>
          </w:p>
        </w:tc>
      </w:tr>
      <w:tr w14:paraId="16AF3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3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C1B8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注：以上报价含可抵扣的增值税专用发票、运费、卸货以及调试相关服务费用</w:t>
            </w:r>
            <w:r>
              <w:rPr>
                <w:rFonts w:hint="eastAsia" w:ascii="宋体" w:hAnsi="宋体" w:cs="宋体"/>
                <w:i w:val="0"/>
                <w:iCs w:val="0"/>
                <w:color w:val="FF0000"/>
                <w:kern w:val="0"/>
                <w:sz w:val="24"/>
                <w:szCs w:val="24"/>
                <w:u w:val="none"/>
                <w:lang w:val="en-US" w:eastAsia="zh-CN" w:bidi="ar"/>
              </w:rPr>
              <w:t>。</w:t>
            </w:r>
          </w:p>
        </w:tc>
      </w:tr>
      <w:tr w14:paraId="327A1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A35B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B4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黑体" w:hAnsi="宋体" w:eastAsia="黑体" w:cs="黑体"/>
                <w:i w:val="0"/>
                <w:iCs w:val="0"/>
                <w:color w:val="FF0000"/>
                <w:kern w:val="2"/>
                <w:sz w:val="24"/>
                <w:szCs w:val="24"/>
                <w:u w:val="none"/>
                <w:lang w:val="en-US" w:eastAsia="zh-CN" w:bidi="ar-SA"/>
              </w:rPr>
            </w:pPr>
            <w:r>
              <w:rPr>
                <w:rFonts w:hint="eastAsia" w:ascii="宋体" w:hAnsi="宋体" w:cs="宋体"/>
                <w:i w:val="0"/>
                <w:iCs w:val="0"/>
                <w:color w:val="FF0000"/>
                <w:kern w:val="0"/>
                <w:sz w:val="24"/>
                <w:szCs w:val="24"/>
                <w:u w:val="none"/>
                <w:lang w:val="en-US" w:eastAsia="zh-CN" w:bidi="ar"/>
              </w:rPr>
              <w:t>填“是/否”</w:t>
            </w: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047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4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316F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黑体" w:hAnsi="宋体" w:eastAsia="黑体" w:cs="黑体"/>
                <w:i w:val="0"/>
                <w:iCs w:val="0"/>
                <w:color w:val="FF0000"/>
                <w:kern w:val="2"/>
                <w:sz w:val="24"/>
                <w:szCs w:val="24"/>
                <w:u w:val="none"/>
                <w:lang w:val="en-US" w:eastAsia="zh-CN" w:bidi="ar-SA"/>
              </w:rPr>
            </w:pPr>
            <w:r>
              <w:rPr>
                <w:rFonts w:hint="eastAsia" w:ascii="宋体" w:hAnsi="宋体" w:cs="宋体"/>
                <w:i w:val="0"/>
                <w:iCs w:val="0"/>
                <w:color w:val="FF0000"/>
                <w:kern w:val="0"/>
                <w:sz w:val="24"/>
                <w:szCs w:val="24"/>
                <w:u w:val="none"/>
                <w:lang w:val="en-US" w:eastAsia="zh-CN" w:bidi="ar"/>
              </w:rPr>
              <w:t>填“是/否”</w:t>
            </w:r>
          </w:p>
        </w:tc>
      </w:tr>
      <w:tr w14:paraId="22973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BE8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25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3</w:t>
            </w:r>
            <w:r>
              <w:rPr>
                <w:rFonts w:hint="eastAsia" w:ascii="宋体" w:hAnsi="宋体" w:eastAsia="宋体" w:cs="宋体"/>
                <w:i w:val="0"/>
                <w:iCs w:val="0"/>
                <w:color w:val="FF0000"/>
                <w:kern w:val="0"/>
                <w:sz w:val="24"/>
                <w:szCs w:val="24"/>
                <w:u w:val="none"/>
                <w:lang w:val="en-US" w:eastAsia="zh-CN" w:bidi="ar"/>
              </w:rPr>
              <w:t>年</w:t>
            </w: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CA4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税点：</w:t>
            </w:r>
          </w:p>
        </w:tc>
        <w:tc>
          <w:tcPr>
            <w:tcW w:w="54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EF6D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FF0000"/>
                <w:kern w:val="0"/>
                <w:sz w:val="24"/>
                <w:szCs w:val="24"/>
                <w:u w:val="none"/>
                <w:lang w:val="en-US" w:eastAsia="zh-CN" w:bidi="ar"/>
              </w:rPr>
              <w:t>必填</w:t>
            </w:r>
          </w:p>
        </w:tc>
      </w:tr>
      <w:tr w14:paraId="3C4C8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4F7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B4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15天</w:t>
            </w:r>
          </w:p>
        </w:tc>
        <w:tc>
          <w:tcPr>
            <w:tcW w:w="1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343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4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26DA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rPr>
            </w:pPr>
            <w:r>
              <w:rPr>
                <w:rFonts w:hint="eastAsia" w:ascii="宋体" w:hAnsi="宋体" w:eastAsia="宋体" w:cs="宋体"/>
                <w:i w:val="0"/>
                <w:iCs w:val="0"/>
                <w:color w:val="FF0000"/>
                <w:kern w:val="0"/>
                <w:sz w:val="24"/>
                <w:szCs w:val="24"/>
                <w:u w:val="none"/>
                <w:lang w:val="en-US" w:eastAsia="zh-CN" w:bidi="ar"/>
              </w:rPr>
              <w:t>合同签订后个7日内支付</w:t>
            </w:r>
            <w:r>
              <w:rPr>
                <w:rFonts w:hint="eastAsia" w:ascii="宋体" w:hAnsi="宋体" w:cs="宋体"/>
                <w:i w:val="0"/>
                <w:iCs w:val="0"/>
                <w:color w:val="FF0000"/>
                <w:kern w:val="0"/>
                <w:sz w:val="24"/>
                <w:szCs w:val="24"/>
                <w:u w:val="none"/>
                <w:lang w:val="en-US" w:eastAsia="zh-CN" w:bidi="ar"/>
              </w:rPr>
              <w:t>30</w:t>
            </w:r>
            <w:r>
              <w:rPr>
                <w:rFonts w:hint="eastAsia" w:ascii="宋体" w:hAnsi="宋体" w:eastAsia="宋体" w:cs="宋体"/>
                <w:i w:val="0"/>
                <w:iCs w:val="0"/>
                <w:color w:val="FF0000"/>
                <w:kern w:val="0"/>
                <w:sz w:val="24"/>
                <w:szCs w:val="24"/>
                <w:u w:val="none"/>
                <w:lang w:val="en-US" w:eastAsia="zh-CN" w:bidi="ar"/>
              </w:rPr>
              <w:t>%预付款，</w:t>
            </w:r>
            <w:r>
              <w:rPr>
                <w:rFonts w:hint="eastAsia" w:ascii="宋体" w:hAnsi="宋体" w:cs="宋体"/>
                <w:i w:val="0"/>
                <w:iCs w:val="0"/>
                <w:color w:val="FF0000"/>
                <w:kern w:val="0"/>
                <w:sz w:val="24"/>
                <w:szCs w:val="24"/>
                <w:u w:val="none"/>
                <w:lang w:val="en-US" w:eastAsia="zh-CN" w:bidi="ar"/>
              </w:rPr>
              <w:t>安装调试</w:t>
            </w:r>
            <w:r>
              <w:rPr>
                <w:rFonts w:hint="eastAsia" w:ascii="宋体" w:hAnsi="宋体" w:eastAsia="宋体" w:cs="宋体"/>
                <w:i w:val="0"/>
                <w:iCs w:val="0"/>
                <w:color w:val="FF0000"/>
                <w:kern w:val="0"/>
                <w:sz w:val="24"/>
                <w:szCs w:val="24"/>
                <w:u w:val="none"/>
                <w:lang w:val="en-US" w:eastAsia="zh-CN" w:bidi="ar"/>
              </w:rPr>
              <w:t>合格后</w:t>
            </w:r>
            <w:r>
              <w:rPr>
                <w:rFonts w:hint="eastAsia" w:ascii="宋体" w:hAnsi="宋体" w:cs="宋体"/>
                <w:i w:val="0"/>
                <w:iCs w:val="0"/>
                <w:color w:val="FF0000"/>
                <w:kern w:val="0"/>
                <w:sz w:val="24"/>
                <w:szCs w:val="24"/>
                <w:u w:val="none"/>
                <w:lang w:val="en-US" w:eastAsia="zh-CN" w:bidi="ar"/>
              </w:rPr>
              <w:t>付至合同价98%，质保期满后付清尾款。</w:t>
            </w:r>
          </w:p>
        </w:tc>
      </w:tr>
    </w:tbl>
    <w:p w14:paraId="5E303FC1">
      <w:pPr>
        <w:ind w:left="0" w:leftChars="0" w:firstLine="0" w:firstLineChars="0"/>
        <w:rPr>
          <w:rFonts w:hint="eastAsia"/>
          <w:lang w:val="en-US" w:eastAsia="zh-CN"/>
        </w:rPr>
        <w:sectPr>
          <w:pgSz w:w="16838" w:h="11906" w:orient="landscape"/>
          <w:pgMar w:top="1800" w:right="1440" w:bottom="1800" w:left="1440" w:header="851" w:footer="992" w:gutter="0"/>
          <w:cols w:space="425" w:num="1"/>
          <w:docGrid w:type="lines" w:linePitch="312" w:charSpace="0"/>
        </w:sectPr>
      </w:pPr>
    </w:p>
    <w:p w14:paraId="736DD848">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5DCC46EE">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40244F07">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68DA160E">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E10A11">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79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67B26D8">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4F859A5B">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A0FAF6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015E3BA">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3F016BE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1B0C59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4C7E905E">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792F09F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2C1CD82F">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7F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3A6D1E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8C318B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2CAC66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061BDC9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4751C2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9D2DB02">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E2CAB67">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933049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60C0B83">
            <w:pPr>
              <w:pStyle w:val="17"/>
              <w:spacing w:line="340" w:lineRule="exact"/>
              <w:ind w:left="0" w:leftChars="0" w:firstLine="0" w:firstLineChars="0"/>
              <w:jc w:val="both"/>
              <w:rPr>
                <w:rFonts w:hint="eastAsia" w:ascii="仿宋" w:hAnsi="仿宋" w:eastAsia="仿宋" w:cs="仿宋"/>
                <w:color w:val="auto"/>
                <w:sz w:val="24"/>
                <w:szCs w:val="24"/>
              </w:rPr>
            </w:pPr>
          </w:p>
        </w:tc>
      </w:tr>
      <w:tr w14:paraId="2AF0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E75CE76">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D7DB82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4E3AB6B">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8449117">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74562F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8D434D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8C047A5">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7AF166E">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3B8B6B9">
            <w:pPr>
              <w:pStyle w:val="17"/>
              <w:spacing w:line="340" w:lineRule="exact"/>
              <w:ind w:left="0" w:leftChars="0" w:firstLine="0" w:firstLineChars="0"/>
              <w:jc w:val="both"/>
              <w:rPr>
                <w:rFonts w:hint="eastAsia" w:ascii="仿宋" w:hAnsi="仿宋" w:eastAsia="仿宋" w:cs="仿宋"/>
                <w:color w:val="auto"/>
                <w:sz w:val="24"/>
                <w:szCs w:val="24"/>
              </w:rPr>
            </w:pPr>
          </w:p>
        </w:tc>
      </w:tr>
      <w:tr w14:paraId="3B6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64B1B09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E728A3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57E142D">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8832CF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4A5EF19E">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3694D25">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641483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5D26F8">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E6F90D6">
            <w:pPr>
              <w:pStyle w:val="17"/>
              <w:spacing w:line="340" w:lineRule="exact"/>
              <w:ind w:left="0" w:leftChars="0" w:firstLine="0" w:firstLineChars="0"/>
              <w:jc w:val="both"/>
              <w:rPr>
                <w:rFonts w:hint="eastAsia" w:ascii="仿宋" w:hAnsi="仿宋" w:eastAsia="仿宋" w:cs="仿宋"/>
                <w:color w:val="auto"/>
                <w:sz w:val="24"/>
                <w:szCs w:val="24"/>
              </w:rPr>
            </w:pPr>
          </w:p>
        </w:tc>
      </w:tr>
      <w:tr w14:paraId="494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7506967">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F2A747D">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576A0A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F44857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8689BE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FFA3F3E">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61E444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6A25C03">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E7B2805">
            <w:pPr>
              <w:pStyle w:val="17"/>
              <w:spacing w:line="340" w:lineRule="exact"/>
              <w:ind w:left="0" w:leftChars="0" w:firstLine="0" w:firstLineChars="0"/>
              <w:jc w:val="both"/>
              <w:rPr>
                <w:rFonts w:hint="eastAsia" w:ascii="仿宋" w:hAnsi="仿宋" w:eastAsia="仿宋" w:cs="仿宋"/>
                <w:color w:val="auto"/>
                <w:sz w:val="24"/>
                <w:szCs w:val="24"/>
              </w:rPr>
            </w:pPr>
          </w:p>
        </w:tc>
      </w:tr>
      <w:tr w14:paraId="5CE7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DC9E2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4F5A1D9">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EF187E9">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578D3A6">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BCC4F2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39698E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8373D5D">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0582C7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642C8EE">
            <w:pPr>
              <w:pStyle w:val="17"/>
              <w:spacing w:line="340" w:lineRule="exact"/>
              <w:ind w:left="0" w:leftChars="0" w:firstLine="0" w:firstLineChars="0"/>
              <w:jc w:val="both"/>
              <w:rPr>
                <w:rFonts w:hint="eastAsia" w:ascii="仿宋" w:hAnsi="仿宋" w:eastAsia="仿宋" w:cs="仿宋"/>
                <w:color w:val="auto"/>
                <w:sz w:val="24"/>
                <w:szCs w:val="24"/>
              </w:rPr>
            </w:pPr>
          </w:p>
        </w:tc>
      </w:tr>
      <w:tr w14:paraId="3C4B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BB829E">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034D59B">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DFDD83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6AE7C619">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4E7F10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D46CC99">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E0856B6">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70AE16">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A779C09">
            <w:pPr>
              <w:pStyle w:val="17"/>
              <w:spacing w:line="340" w:lineRule="exact"/>
              <w:ind w:left="0" w:leftChars="0" w:firstLine="0" w:firstLineChars="0"/>
              <w:jc w:val="both"/>
              <w:rPr>
                <w:rFonts w:hint="eastAsia" w:ascii="仿宋" w:hAnsi="仿宋" w:eastAsia="仿宋" w:cs="仿宋"/>
                <w:color w:val="auto"/>
                <w:sz w:val="24"/>
                <w:szCs w:val="24"/>
              </w:rPr>
            </w:pPr>
          </w:p>
        </w:tc>
      </w:tr>
      <w:tr w14:paraId="322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66A3D74">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085D7CE">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E2535A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495384BE">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6D8ABD1">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7FC2180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0C45981">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3186B45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4EB0CBA0">
            <w:pPr>
              <w:pStyle w:val="17"/>
              <w:spacing w:line="340" w:lineRule="exact"/>
              <w:ind w:left="0" w:leftChars="0" w:firstLine="0" w:firstLineChars="0"/>
              <w:jc w:val="both"/>
              <w:rPr>
                <w:rFonts w:hint="eastAsia" w:ascii="仿宋" w:hAnsi="仿宋" w:eastAsia="仿宋" w:cs="仿宋"/>
                <w:color w:val="auto"/>
                <w:sz w:val="24"/>
                <w:szCs w:val="24"/>
              </w:rPr>
            </w:pPr>
          </w:p>
        </w:tc>
      </w:tr>
      <w:tr w14:paraId="161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7DA60C9E">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4A9E597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7776C62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39E15F42">
      <w:pPr>
        <w:tabs>
          <w:tab w:val="left" w:pos="480"/>
        </w:tabs>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1、付款条件:合同签订后个7日内支付30%预付款，安装调试合格后付至合同价98%，质保期满后付清尾款。注：付款时供应商须提供正规发票（因发票问题而导致无法正常付款的，责任由供应商自己承担）。</w:t>
      </w:r>
    </w:p>
    <w:p w14:paraId="50D36E2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2、付款形式：银行转账。</w:t>
      </w:r>
    </w:p>
    <w:p w14:paraId="0DD93EB7">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1）甲方账户信息：</w:t>
      </w:r>
    </w:p>
    <w:p w14:paraId="0AB5850F">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户名：江苏省淮安市保安服务有限公司</w:t>
      </w:r>
    </w:p>
    <w:p w14:paraId="215289D9">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开户银行：中国建设银行淮安分行营业部</w:t>
      </w:r>
    </w:p>
    <w:p w14:paraId="1D1461EB">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账号：32001728636050797351</w:t>
      </w:r>
    </w:p>
    <w:p w14:paraId="711C5813">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2）乙方账户信息：</w:t>
      </w:r>
    </w:p>
    <w:p w14:paraId="65E964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收款户名：</w:t>
      </w:r>
    </w:p>
    <w:p w14:paraId="213B0009">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w:t>
      </w:r>
    </w:p>
    <w:p w14:paraId="74337E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开户行：</w:t>
      </w:r>
    </w:p>
    <w:p w14:paraId="27AF7028">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4301387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60B2DF0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420E4A5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0514182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A809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3C4937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3D56A8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326F98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3713184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60A0F09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7D40C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24601ED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0EC3EB9C">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747AD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EA06F3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2、本合同项下产品质保期为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年，以设备验收单签字确认起算。甲方使用设</w:t>
      </w:r>
      <w:r>
        <w:rPr>
          <w:rFonts w:hint="eastAsia" w:ascii="仿宋" w:hAnsi="仿宋" w:eastAsia="仿宋" w:cs="仿宋"/>
          <w:color w:val="auto"/>
          <w:sz w:val="24"/>
          <w:szCs w:val="24"/>
          <w:lang w:val="en-US" w:eastAsia="zh-CN"/>
        </w:rPr>
        <w:t>备发生质量问题，甲方有权要求乙方在 4 小时内响应并进行电话说明，同时对问题产品在当日进行退货、更换、维修手续，保证 3 日内恢复正常使用功能，并承担由此产生所有的费用。</w:t>
      </w:r>
    </w:p>
    <w:p w14:paraId="746F824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263A56D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3F2CAD3B">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2F33A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E98EC2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14490C3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755111B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444E79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0EEED08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16226F8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3C95343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73CE195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16F4FBF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CFEC88F">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20D1D77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39E6175">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1BF83F9B">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4899644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1D5D93BD">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6E3EB1F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7E7E731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76728DB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10D360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6D119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65774B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506F43B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1DF5D161">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070B3987">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01BA42C4">
      <w:pPr>
        <w:ind w:left="0" w:leftChars="0" w:firstLine="0" w:firstLineChars="0"/>
      </w:pPr>
    </w:p>
    <w:p w14:paraId="2CEEC135"/>
    <w:p w14:paraId="3DC037E7"/>
    <w:p w14:paraId="3A8653B5"/>
    <w:sectPr>
      <w:pgSz w:w="11906" w:h="16838"/>
      <w:pgMar w:top="1701" w:right="1587" w:bottom="1587" w:left="1587" w:header="851" w:footer="992" w:gutter="0"/>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1413809"/>
    <w:rsid w:val="01802C9E"/>
    <w:rsid w:val="01B4311A"/>
    <w:rsid w:val="020D7BB0"/>
    <w:rsid w:val="023D1BA8"/>
    <w:rsid w:val="024B07E7"/>
    <w:rsid w:val="02635986"/>
    <w:rsid w:val="02BD280C"/>
    <w:rsid w:val="02BD7BE0"/>
    <w:rsid w:val="03626CD0"/>
    <w:rsid w:val="03BB36BB"/>
    <w:rsid w:val="04741F2A"/>
    <w:rsid w:val="058E7D29"/>
    <w:rsid w:val="06E65ABA"/>
    <w:rsid w:val="07CC21FA"/>
    <w:rsid w:val="08193505"/>
    <w:rsid w:val="082F30B8"/>
    <w:rsid w:val="0886108C"/>
    <w:rsid w:val="09DB488A"/>
    <w:rsid w:val="09FE7C7D"/>
    <w:rsid w:val="0A443009"/>
    <w:rsid w:val="0A831766"/>
    <w:rsid w:val="0BC2638F"/>
    <w:rsid w:val="0BDC6B78"/>
    <w:rsid w:val="0C882A07"/>
    <w:rsid w:val="0CD142BE"/>
    <w:rsid w:val="0CDE3385"/>
    <w:rsid w:val="0D681C76"/>
    <w:rsid w:val="0D78696A"/>
    <w:rsid w:val="0DBF30C4"/>
    <w:rsid w:val="0DD96789"/>
    <w:rsid w:val="0EE75859"/>
    <w:rsid w:val="0F0F7410"/>
    <w:rsid w:val="100159F1"/>
    <w:rsid w:val="10275305"/>
    <w:rsid w:val="10941E2C"/>
    <w:rsid w:val="1106690F"/>
    <w:rsid w:val="115C3F6A"/>
    <w:rsid w:val="11F315DF"/>
    <w:rsid w:val="12F86B39"/>
    <w:rsid w:val="133B07D3"/>
    <w:rsid w:val="138B678C"/>
    <w:rsid w:val="13A43BC7"/>
    <w:rsid w:val="144B0B25"/>
    <w:rsid w:val="14F94AB5"/>
    <w:rsid w:val="1516314A"/>
    <w:rsid w:val="157C124F"/>
    <w:rsid w:val="15A123AF"/>
    <w:rsid w:val="15B405D8"/>
    <w:rsid w:val="16B37629"/>
    <w:rsid w:val="173B2189"/>
    <w:rsid w:val="17737FB9"/>
    <w:rsid w:val="17CE6EF3"/>
    <w:rsid w:val="185D2018"/>
    <w:rsid w:val="1870435E"/>
    <w:rsid w:val="18B65219"/>
    <w:rsid w:val="193251CA"/>
    <w:rsid w:val="1959078F"/>
    <w:rsid w:val="19850B90"/>
    <w:rsid w:val="1A48720E"/>
    <w:rsid w:val="1B811C42"/>
    <w:rsid w:val="1B96686D"/>
    <w:rsid w:val="1BB00C3B"/>
    <w:rsid w:val="1BE36910"/>
    <w:rsid w:val="1C1414B5"/>
    <w:rsid w:val="1C44694B"/>
    <w:rsid w:val="1CB642A6"/>
    <w:rsid w:val="1CBE542C"/>
    <w:rsid w:val="1CCD669D"/>
    <w:rsid w:val="1E434544"/>
    <w:rsid w:val="1F444EB4"/>
    <w:rsid w:val="1F741D8C"/>
    <w:rsid w:val="1FC0011B"/>
    <w:rsid w:val="1FF000D2"/>
    <w:rsid w:val="1FF040AD"/>
    <w:rsid w:val="200C3464"/>
    <w:rsid w:val="23812232"/>
    <w:rsid w:val="23B60935"/>
    <w:rsid w:val="245503E6"/>
    <w:rsid w:val="24874408"/>
    <w:rsid w:val="24883CAD"/>
    <w:rsid w:val="24BF2D95"/>
    <w:rsid w:val="252E232A"/>
    <w:rsid w:val="259D1AFE"/>
    <w:rsid w:val="25BA7F75"/>
    <w:rsid w:val="25DE44B5"/>
    <w:rsid w:val="264801BD"/>
    <w:rsid w:val="267537D8"/>
    <w:rsid w:val="26A67AF4"/>
    <w:rsid w:val="26D0702D"/>
    <w:rsid w:val="27933CD9"/>
    <w:rsid w:val="27B75BEB"/>
    <w:rsid w:val="28126BBF"/>
    <w:rsid w:val="281D45C6"/>
    <w:rsid w:val="292E08DE"/>
    <w:rsid w:val="296A41D2"/>
    <w:rsid w:val="29E622D3"/>
    <w:rsid w:val="2A225DF1"/>
    <w:rsid w:val="2B6A410E"/>
    <w:rsid w:val="2B9E5DD1"/>
    <w:rsid w:val="2C761843"/>
    <w:rsid w:val="2D4E2C33"/>
    <w:rsid w:val="2DC647A7"/>
    <w:rsid w:val="2E1B2848"/>
    <w:rsid w:val="2E1C17E4"/>
    <w:rsid w:val="2E342253"/>
    <w:rsid w:val="2FA05CF7"/>
    <w:rsid w:val="300D6BCC"/>
    <w:rsid w:val="30A001AC"/>
    <w:rsid w:val="31140310"/>
    <w:rsid w:val="318F1FBE"/>
    <w:rsid w:val="337A506E"/>
    <w:rsid w:val="339B7C29"/>
    <w:rsid w:val="345319C9"/>
    <w:rsid w:val="37A7439E"/>
    <w:rsid w:val="37CA2BC5"/>
    <w:rsid w:val="37F03342"/>
    <w:rsid w:val="38544E55"/>
    <w:rsid w:val="39064FC8"/>
    <w:rsid w:val="39963E4D"/>
    <w:rsid w:val="3A2C48CD"/>
    <w:rsid w:val="3B0F7CBC"/>
    <w:rsid w:val="3B275F4B"/>
    <w:rsid w:val="3D2363DE"/>
    <w:rsid w:val="3DA64A40"/>
    <w:rsid w:val="3E015FF2"/>
    <w:rsid w:val="3E4F32EC"/>
    <w:rsid w:val="3E5157CB"/>
    <w:rsid w:val="3E6D1EE0"/>
    <w:rsid w:val="40130CAF"/>
    <w:rsid w:val="40490B34"/>
    <w:rsid w:val="420E65EA"/>
    <w:rsid w:val="421050D4"/>
    <w:rsid w:val="42A9416B"/>
    <w:rsid w:val="42BF1B92"/>
    <w:rsid w:val="42EE0B0F"/>
    <w:rsid w:val="435E2995"/>
    <w:rsid w:val="43966372"/>
    <w:rsid w:val="43F65ECD"/>
    <w:rsid w:val="44EF43A5"/>
    <w:rsid w:val="46AE2EAA"/>
    <w:rsid w:val="477060B2"/>
    <w:rsid w:val="47D32116"/>
    <w:rsid w:val="48116822"/>
    <w:rsid w:val="48832749"/>
    <w:rsid w:val="493C6A78"/>
    <w:rsid w:val="49AB2DE5"/>
    <w:rsid w:val="4A0D21C2"/>
    <w:rsid w:val="4A0E06F8"/>
    <w:rsid w:val="4B1A7BD1"/>
    <w:rsid w:val="4BB038DA"/>
    <w:rsid w:val="4C73767A"/>
    <w:rsid w:val="4D030046"/>
    <w:rsid w:val="4D871781"/>
    <w:rsid w:val="4E802F1D"/>
    <w:rsid w:val="4EF042FA"/>
    <w:rsid w:val="4FAF448B"/>
    <w:rsid w:val="50417986"/>
    <w:rsid w:val="50F73FA0"/>
    <w:rsid w:val="515E18DF"/>
    <w:rsid w:val="51765D9A"/>
    <w:rsid w:val="517D0941"/>
    <w:rsid w:val="521C7398"/>
    <w:rsid w:val="52446C35"/>
    <w:rsid w:val="527E16D3"/>
    <w:rsid w:val="528B2778"/>
    <w:rsid w:val="52C14E18"/>
    <w:rsid w:val="5316709E"/>
    <w:rsid w:val="534B7B17"/>
    <w:rsid w:val="54B57C0A"/>
    <w:rsid w:val="55FF6B96"/>
    <w:rsid w:val="56E07198"/>
    <w:rsid w:val="57221F02"/>
    <w:rsid w:val="57960F83"/>
    <w:rsid w:val="57DB3B40"/>
    <w:rsid w:val="58733762"/>
    <w:rsid w:val="58A15BF6"/>
    <w:rsid w:val="58DA37D1"/>
    <w:rsid w:val="590772D6"/>
    <w:rsid w:val="597E69B0"/>
    <w:rsid w:val="59D75C73"/>
    <w:rsid w:val="5AA4447D"/>
    <w:rsid w:val="5AE44879"/>
    <w:rsid w:val="5BBF6D32"/>
    <w:rsid w:val="5C02364F"/>
    <w:rsid w:val="5C4A6C71"/>
    <w:rsid w:val="5CA61E20"/>
    <w:rsid w:val="5D9E05A7"/>
    <w:rsid w:val="5DF96E76"/>
    <w:rsid w:val="5DFE3DF5"/>
    <w:rsid w:val="5E0F059C"/>
    <w:rsid w:val="5E385608"/>
    <w:rsid w:val="5EB9237C"/>
    <w:rsid w:val="5F0458F0"/>
    <w:rsid w:val="5FE226DD"/>
    <w:rsid w:val="60C33852"/>
    <w:rsid w:val="614F4C11"/>
    <w:rsid w:val="61547E11"/>
    <w:rsid w:val="61852A60"/>
    <w:rsid w:val="62567581"/>
    <w:rsid w:val="631F4682"/>
    <w:rsid w:val="63D4721D"/>
    <w:rsid w:val="640673E3"/>
    <w:rsid w:val="640F17B5"/>
    <w:rsid w:val="64467711"/>
    <w:rsid w:val="64E752C4"/>
    <w:rsid w:val="65DA0DD4"/>
    <w:rsid w:val="65F729C7"/>
    <w:rsid w:val="66934D57"/>
    <w:rsid w:val="66A27154"/>
    <w:rsid w:val="66A80E51"/>
    <w:rsid w:val="676905E0"/>
    <w:rsid w:val="677551D7"/>
    <w:rsid w:val="68577F92"/>
    <w:rsid w:val="698D373B"/>
    <w:rsid w:val="69FD1FFD"/>
    <w:rsid w:val="6A2B5BCA"/>
    <w:rsid w:val="6A786D8C"/>
    <w:rsid w:val="6AA75C6E"/>
    <w:rsid w:val="6BB31049"/>
    <w:rsid w:val="6BF15785"/>
    <w:rsid w:val="6C1442B0"/>
    <w:rsid w:val="6CF430F2"/>
    <w:rsid w:val="6D3C0639"/>
    <w:rsid w:val="6DB96BEC"/>
    <w:rsid w:val="6E264481"/>
    <w:rsid w:val="6E7D2BC3"/>
    <w:rsid w:val="6F321DFD"/>
    <w:rsid w:val="6F575DD1"/>
    <w:rsid w:val="70155795"/>
    <w:rsid w:val="702E6762"/>
    <w:rsid w:val="70314EAA"/>
    <w:rsid w:val="7044602E"/>
    <w:rsid w:val="706B3AE0"/>
    <w:rsid w:val="70A15D8A"/>
    <w:rsid w:val="71270FB3"/>
    <w:rsid w:val="71E07B02"/>
    <w:rsid w:val="71F66174"/>
    <w:rsid w:val="72C34258"/>
    <w:rsid w:val="73CE218C"/>
    <w:rsid w:val="74AA472D"/>
    <w:rsid w:val="768165E1"/>
    <w:rsid w:val="77740EE3"/>
    <w:rsid w:val="79256331"/>
    <w:rsid w:val="79DA1D09"/>
    <w:rsid w:val="7A182199"/>
    <w:rsid w:val="7A31327F"/>
    <w:rsid w:val="7A644061"/>
    <w:rsid w:val="7AE1770B"/>
    <w:rsid w:val="7B114A31"/>
    <w:rsid w:val="7CCE7826"/>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 w:type="character" w:customStyle="1" w:styleId="50">
    <w:name w:val="font132"/>
    <w:basedOn w:val="26"/>
    <w:qFormat/>
    <w:uiPriority w:val="0"/>
    <w:rPr>
      <w:rFonts w:hint="eastAsia" w:ascii="黑体" w:hAnsi="宋体" w:eastAsia="黑体" w:cs="黑体"/>
      <w:b/>
      <w:bCs/>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811</Words>
  <Characters>822</Characters>
  <Lines>0</Lines>
  <Paragraphs>0</Paragraphs>
  <TotalTime>3</TotalTime>
  <ScaleCrop>false</ScaleCrop>
  <LinksUpToDate>false</LinksUpToDate>
  <CharactersWithSpaces>1178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2026-02-04T01:28:34Z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F29168B04264439C9D2599999021D684_13</vt:lpwstr>
  </property>
  <property fmtid="{D5CDD505-2E9C-101B-9397-08002B2CF9AE}" pid="4" name="KSOTemplateDocerSaveRecord">
    <vt:lpwstr>eyJoZGlkIjoiYjY0ZTAzOGFkMDVjYTAyNGRiZmEzMWIyNTAyNzgyNTIiLCJ1c2VySWQiOiI2OTk3Mjg4NzkifQ==</vt:lpwstr>
  </property>
</Properties>
</file>