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2E902">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14:paraId="54849465">
      <w:pPr>
        <w:rPr>
          <w:rFonts w:hint="eastAsia"/>
          <w:lang w:val="en-US" w:eastAsia="zh-CN"/>
        </w:rPr>
      </w:pPr>
    </w:p>
    <w:p w14:paraId="59C6CEC8">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70503CEF">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50004594">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i w:val="0"/>
          <w:iCs w:val="0"/>
          <w:color w:val="000000"/>
          <w:kern w:val="0"/>
          <w:sz w:val="48"/>
          <w:szCs w:val="48"/>
          <w:u w:val="none"/>
          <w:lang w:val="en-US" w:eastAsia="zh-CN" w:bidi="ar"/>
        </w:rPr>
      </w:pPr>
      <w:r>
        <w:rPr>
          <w:rFonts w:hint="eastAsia" w:ascii="宋体" w:hAnsi="宋体" w:eastAsia="宋体" w:cs="宋体"/>
          <w:b/>
          <w:i w:val="0"/>
          <w:iCs w:val="0"/>
          <w:color w:val="000000"/>
          <w:kern w:val="0"/>
          <w:sz w:val="48"/>
          <w:szCs w:val="48"/>
          <w:u w:val="none"/>
          <w:lang w:val="en-US" w:eastAsia="zh-CN" w:bidi="ar"/>
        </w:rPr>
        <w:t>杆件及挂箱采购询价文件</w:t>
      </w:r>
    </w:p>
    <w:p w14:paraId="0D1359D7">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14:paraId="67C8B398">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14:paraId="5C20983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2B0F4BCB">
      <w:pP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1DDA3B2E">
      <w:pPr>
        <w:pStyle w:val="22"/>
        <w:rPr>
          <w:rFonts w:hint="eastAsia"/>
          <w:lang w:val="en-US" w:eastAsia="zh-CN"/>
        </w:rPr>
      </w:pPr>
    </w:p>
    <w:p w14:paraId="36895F0D">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14:paraId="5415AD09">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14:paraId="6817C203">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14:paraId="6805A289">
      <w:pPr>
        <w:pStyle w:val="5"/>
        <w:numPr>
          <w:ilvl w:val="0"/>
          <w:numId w:val="2"/>
        </w:numPr>
        <w:bidi w:val="0"/>
        <w:ind w:left="0" w:leftChars="0" w:firstLine="420" w:firstLineChars="0"/>
        <w:jc w:val="center"/>
      </w:pPr>
      <w:r>
        <w:rPr>
          <w:rFonts w:hint="eastAsia"/>
        </w:rPr>
        <w:t>报 价 函</w:t>
      </w:r>
    </w:p>
    <w:p w14:paraId="70B63872">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14:paraId="0C07CFE3">
      <w:pPr>
        <w:spacing w:line="360" w:lineRule="auto"/>
        <w:ind w:firstLine="480"/>
        <w:rPr>
          <w:rFonts w:hint="eastAsia" w:ascii="仿宋" w:hAnsi="仿宋" w:eastAsia="仿宋" w:cs="仿宋"/>
          <w:sz w:val="28"/>
          <w:szCs w:val="28"/>
        </w:rPr>
      </w:pPr>
    </w:p>
    <w:p w14:paraId="534E7D5B">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14:paraId="5B1E50B9">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14:paraId="042B99D9">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14:paraId="4C55D677">
      <w:pPr>
        <w:spacing w:line="360" w:lineRule="auto"/>
        <w:ind w:firstLine="480"/>
        <w:rPr>
          <w:szCs w:val="24"/>
        </w:rPr>
      </w:pPr>
    </w:p>
    <w:p w14:paraId="026024D0">
      <w:pPr>
        <w:spacing w:line="360" w:lineRule="auto"/>
        <w:ind w:firstLine="480"/>
        <w:rPr>
          <w:szCs w:val="24"/>
        </w:rPr>
      </w:pPr>
    </w:p>
    <w:p w14:paraId="2612A76B">
      <w:pPr>
        <w:spacing w:line="360" w:lineRule="auto"/>
        <w:ind w:firstLine="480"/>
        <w:rPr>
          <w:rFonts w:hint="eastAsia" w:ascii="仿宋" w:hAnsi="仿宋" w:eastAsia="仿宋" w:cs="仿宋"/>
          <w:sz w:val="28"/>
          <w:szCs w:val="28"/>
        </w:rPr>
      </w:pPr>
    </w:p>
    <w:p w14:paraId="1E094713">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D2C9006">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14:paraId="12600F4D">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14:paraId="1696001D">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14:paraId="64AEB254">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14:paraId="4F2EA8F8">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14:paraId="1C696F75">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14:paraId="216A41DB">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14:paraId="64DB30A0">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14:paraId="0C409F2D">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14:paraId="4E31C602">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14:paraId="155BBD59">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14:paraId="1A92B3C6">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14:paraId="6E19C44A">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14:paraId="2D3B100C">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14:paraId="79CCEA86">
      <w:pPr>
        <w:ind w:firstLine="482"/>
        <w:rPr>
          <w:rFonts w:hint="eastAsia" w:ascii="仿宋" w:hAnsi="仿宋" w:eastAsia="仿宋" w:cs="仿宋"/>
          <w:b/>
          <w:bCs/>
          <w:sz w:val="28"/>
          <w:szCs w:val="28"/>
          <w:lang w:val="zh-CN"/>
        </w:rPr>
      </w:pPr>
    </w:p>
    <w:p w14:paraId="32D78018">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14:paraId="230DC26A">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C59B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45A21221">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78B441EF">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0EBC947F">
      <w:pPr>
        <w:ind w:firstLine="643"/>
        <w:rPr>
          <w:rFonts w:hint="eastAsia" w:ascii="仿宋" w:hAnsi="仿宋" w:eastAsia="仿宋" w:cs="仿宋"/>
          <w:b/>
          <w:sz w:val="32"/>
          <w:szCs w:val="32"/>
        </w:rPr>
      </w:pPr>
      <w:r>
        <w:rPr>
          <w:rFonts w:hint="eastAsia" w:ascii="仿宋" w:hAnsi="仿宋" w:eastAsia="仿宋" w:cs="仿宋"/>
          <w:b/>
          <w:sz w:val="32"/>
          <w:szCs w:val="32"/>
        </w:rPr>
        <w:br w:type="page"/>
      </w:r>
    </w:p>
    <w:p w14:paraId="48145DCC">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14:paraId="654E53DB">
      <w:pPr>
        <w:rPr>
          <w:rFonts w:hint="eastAsia"/>
          <w:lang w:val="zh-CN" w:eastAsia="zh-CN"/>
        </w:rPr>
      </w:pPr>
    </w:p>
    <w:p w14:paraId="07EEA6BC">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14:paraId="6B0AAB9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14:paraId="0BE85FC9">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14:paraId="31468DD0">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14:paraId="1AE2C8ED">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14:paraId="772BFA37">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14:paraId="321717F0">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14:paraId="0D580553">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14:paraId="49EF9FC6">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14:paraId="4FFF9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14:paraId="00809DBA">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14:paraId="4A473947">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14:paraId="569E2937">
      <w:pPr>
        <w:rPr>
          <w:rFonts w:hint="eastAsia"/>
        </w:rPr>
      </w:pPr>
      <w:r>
        <w:rPr>
          <w:rFonts w:hint="eastAsia"/>
        </w:rPr>
        <w:br w:type="page"/>
      </w:r>
    </w:p>
    <w:p w14:paraId="71E91452">
      <w:pPr>
        <w:pStyle w:val="15"/>
        <w:rPr>
          <w:rFonts w:hint="eastAsia"/>
        </w:rPr>
        <w:sectPr>
          <w:pgSz w:w="11906" w:h="16838"/>
          <w:pgMar w:top="1440" w:right="1800" w:bottom="1440" w:left="1800" w:header="851" w:footer="992" w:gutter="0"/>
          <w:cols w:space="425" w:num="1"/>
          <w:docGrid w:type="lines" w:linePitch="312" w:charSpace="0"/>
        </w:sectPr>
      </w:pPr>
    </w:p>
    <w:p w14:paraId="222AE503">
      <w:pPr>
        <w:pStyle w:val="5"/>
        <w:numPr>
          <w:ilvl w:val="0"/>
          <w:numId w:val="0"/>
        </w:numPr>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8"/>
        <w:gridCol w:w="1530"/>
        <w:gridCol w:w="318"/>
        <w:gridCol w:w="4462"/>
        <w:gridCol w:w="607"/>
        <w:gridCol w:w="1016"/>
        <w:gridCol w:w="1032"/>
        <w:gridCol w:w="145"/>
        <w:gridCol w:w="1129"/>
        <w:gridCol w:w="1763"/>
        <w:gridCol w:w="1080"/>
      </w:tblGrid>
      <w:tr w14:paraId="627BEC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11"/>
            <w:tcBorders>
              <w:top w:val="nil"/>
              <w:left w:val="nil"/>
              <w:bottom w:val="nil"/>
              <w:right w:val="nil"/>
            </w:tcBorders>
            <w:shd w:val="clear" w:color="auto" w:fill="auto"/>
            <w:vAlign w:val="center"/>
          </w:tcPr>
          <w:p w14:paraId="4F6EF0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14:paraId="6C0298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2D1AF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询价单位</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7FFF0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江苏省淮安市保安服务有限公司</w:t>
            </w:r>
          </w:p>
        </w:tc>
        <w:tc>
          <w:tcPr>
            <w:tcW w:w="21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6C372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报价单位</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AF8F7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必填（盖章）</w:t>
            </w:r>
          </w:p>
        </w:tc>
      </w:tr>
      <w:tr w14:paraId="51F2F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8F4F6">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联系人</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FE123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8E00E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法定代表人或授权委托人</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5C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495A66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A3EE5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FDA7C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D6076B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电话</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D5914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810E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C099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226B8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color w:val="000000"/>
                <w:kern w:val="0"/>
                <w:sz w:val="24"/>
                <w:szCs w:val="24"/>
                <w:u w:val="single"/>
                <w:lang w:val="en-US" w:eastAsia="zh-CN" w:bidi="ar"/>
              </w:rPr>
              <w:t>HABAccb@163.com</w:t>
            </w:r>
          </w:p>
        </w:tc>
        <w:tc>
          <w:tcPr>
            <w:tcW w:w="21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1F3F8A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邮箱</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2F6C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55F2AB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30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9C650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D769E">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219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1CBCC27">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3972" w:type="dxa"/>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FCBE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lang w:val="en-US" w:eastAsia="zh-CN" w:bidi="ar"/>
              </w:rPr>
              <w:t>必填</w:t>
            </w:r>
          </w:p>
        </w:tc>
      </w:tr>
      <w:tr w14:paraId="7CE92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7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24BAF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5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0AA26B">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项目名称</w:t>
            </w:r>
          </w:p>
        </w:tc>
        <w:tc>
          <w:tcPr>
            <w:tcW w:w="5387"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7F35E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参数</w:t>
            </w:r>
          </w:p>
        </w:tc>
        <w:tc>
          <w:tcPr>
            <w:tcW w:w="10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8B81C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1177" w:type="dxa"/>
            <w:gridSpan w:val="2"/>
            <w:vMerge w:val="restart"/>
            <w:tcBorders>
              <w:top w:val="single" w:color="000000" w:sz="4" w:space="0"/>
              <w:left w:val="single" w:color="000000" w:sz="4" w:space="0"/>
              <w:right w:val="single" w:color="000000" w:sz="4" w:space="0"/>
            </w:tcBorders>
            <w:shd w:val="clear" w:color="auto" w:fill="auto"/>
            <w:vAlign w:val="center"/>
          </w:tcPr>
          <w:p w14:paraId="065C9BE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289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09394D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金额（元）</w:t>
            </w:r>
          </w:p>
        </w:tc>
        <w:tc>
          <w:tcPr>
            <w:tcW w:w="108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FD50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59E02D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55" w:hRule="atLeast"/>
        </w:trPr>
        <w:tc>
          <w:tcPr>
            <w:tcW w:w="7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9FC9B1">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5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AB44F8">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5387"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DBBBDF">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0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41D34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77" w:type="dxa"/>
            <w:gridSpan w:val="2"/>
            <w:vMerge w:val="continue"/>
            <w:tcBorders>
              <w:left w:val="single" w:color="000000" w:sz="4" w:space="0"/>
              <w:bottom w:val="single" w:color="000000" w:sz="4" w:space="0"/>
              <w:right w:val="single" w:color="000000" w:sz="4" w:space="0"/>
            </w:tcBorders>
            <w:shd w:val="clear" w:color="auto" w:fill="auto"/>
            <w:vAlign w:val="center"/>
          </w:tcPr>
          <w:p w14:paraId="213D6E63">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c>
          <w:tcPr>
            <w:tcW w:w="1129" w:type="dxa"/>
            <w:tcBorders>
              <w:top w:val="single" w:color="000000" w:sz="4" w:space="0"/>
              <w:left w:val="single" w:color="000000" w:sz="4" w:space="0"/>
              <w:bottom w:val="single" w:color="auto" w:sz="4" w:space="0"/>
              <w:right w:val="single" w:color="000000" w:sz="4" w:space="0"/>
            </w:tcBorders>
            <w:shd w:val="clear" w:color="auto" w:fill="auto"/>
            <w:vAlign w:val="center"/>
          </w:tcPr>
          <w:p w14:paraId="0216546D">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w:t>
            </w:r>
          </w:p>
        </w:tc>
        <w:tc>
          <w:tcPr>
            <w:tcW w:w="1763" w:type="dxa"/>
            <w:tcBorders>
              <w:top w:val="single" w:color="000000" w:sz="4" w:space="0"/>
              <w:left w:val="single" w:color="000000" w:sz="4" w:space="0"/>
              <w:bottom w:val="single" w:color="auto" w:sz="4" w:space="0"/>
              <w:right w:val="single" w:color="000000" w:sz="4" w:space="0"/>
            </w:tcBorders>
            <w:shd w:val="clear" w:color="auto" w:fill="auto"/>
            <w:vAlign w:val="center"/>
          </w:tcPr>
          <w:p w14:paraId="78CF02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合价</w:t>
            </w:r>
          </w:p>
        </w:tc>
        <w:tc>
          <w:tcPr>
            <w:tcW w:w="1080"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14:paraId="3C1D1339">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000000"/>
                <w:sz w:val="24"/>
                <w:szCs w:val="24"/>
                <w:u w:val="none"/>
              </w:rPr>
            </w:pPr>
          </w:p>
        </w:tc>
      </w:tr>
      <w:tr w14:paraId="219AB3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4EC52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38757">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挂杆机箱</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57D063">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1、采用不低于1.2mm厚的优质冷轧钢板制作；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2、尺寸：≥35cm宽*50cm高*15cm深；</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3、箱体内部要求：配置10A2P自动重合闸保护器（具备防雷保护）1套、导轨插座5个（16A）、接地铜条、接线端子、散热风扇和温控器；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4、定制要求：箱体表面须有8mm防雨顶，进行脱脂、酸洗、防锈磷化后热镀锌后喷塑，正门喷涂“****”字样，颜色规格与淮安市生态新城现有风格保持一致；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5、箱体要求：正门加锁，背面预留螺丝孔且和摄像机立杆预留的小配电箱法兰相匹配，侧面留有百叶窗；</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6、防护等级：不低于IP65标准。</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2A214">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台</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04A4214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196E6D4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2890848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9167CD1">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7D0E0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0E2F">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14B04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横臂杆</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9CE9B4">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1.横臂长2m</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φ76*3*2000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2、杆件颜色与淮安生态新城现有风格保持一致，为方便以后扩展预留不少于4个枪机法兰和1个球机螺口；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3、杆件采用热镀锌钢管，热镀锌厚度不小于86um，立杆整体喷塑，外观无鼓泡、裂纹或漏喷现象表面光滑色泽一致；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 xml:space="preserve"> 4、悬臂与立杆相接处、均应抱箍固定。</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C966EE">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668A7782">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80</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22034F29">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008DE3BC">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4EC9A8C8">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25A21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1E6E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CB8BA">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八角锥形立杆</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9AFA991">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1.八角锥形立杆（摄像机立杆），高度6m，杆件横臂长4m。立杆：对角（180-240）*5*6000</w:t>
            </w:r>
            <w:r>
              <w:rPr>
                <w:rFonts w:hint="eastAsia" w:ascii="宋体" w:hAnsi="宋体" w:cs="宋体"/>
                <w:i w:val="0"/>
                <w:iCs w:val="0"/>
                <w:color w:val="000000"/>
                <w:kern w:val="0"/>
                <w:sz w:val="20"/>
                <w:szCs w:val="20"/>
                <w:u w:val="none"/>
                <w:lang w:val="en-US" w:eastAsia="zh-CN" w:bidi="ar"/>
              </w:rPr>
              <w:t>，悬臂：对角（100-150）*4*4000，地笼M24*6*1280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2.杆件颜色与淮安生态新城现有风格保持一致，为方便以后扩展预留不少于4个枪机法兰和1个球机螺口；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3.杆件采用热镀锌钢管，热镀锌厚度不小于86um，立杆整体喷塑，外观无鼓泡、裂纹或漏喷现象表面光滑色泽一致。                                                                                                                                                                   4.悬臂与立杆相接处、杆件底部均应焊接固定法兰盘。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5.基础防雷接地主要性能标准:地脚法兰；采用24以上圆钢，砼：采用C25商用级混凝土，底部经行美化加工，与周围环境相协调，基础的浇注、混凝土强度等级必须符合GB50204的要求，钢筋混凝土式基础；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6.防雷符合《安全防范系统雷电浪涌防护技术要求》，保护地线可使用规格为40m*4mm以上镀锌扁钢制作，焊接到每个钢制杆件的法兰盘上，焊接处作防腐处理，且保护地线应与接地体/接地棒有效连接；</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73F423">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31D2549C">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48</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42428B0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3421FEDA">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0D9F924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1DE222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35819">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15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D8CC6">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八角锥形立杆</w:t>
            </w:r>
          </w:p>
        </w:tc>
        <w:tc>
          <w:tcPr>
            <w:tcW w:w="5387"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BACF3A">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1.八角锥形立杆（摄像机立杆），高度6m，杆件横臂长5m。立杆：对角（180-240）*</w:t>
            </w:r>
            <w:r>
              <w:rPr>
                <w:rFonts w:hint="eastAsia" w:ascii="宋体" w:hAnsi="宋体" w:cs="宋体"/>
                <w:i w:val="0"/>
                <w:iCs w:val="0"/>
                <w:color w:val="000000"/>
                <w:kern w:val="0"/>
                <w:sz w:val="20"/>
                <w:szCs w:val="20"/>
                <w:u w:val="none"/>
                <w:lang w:val="en-US" w:eastAsia="zh-CN" w:bidi="ar"/>
              </w:rPr>
              <w:t>6</w:t>
            </w:r>
            <w:r>
              <w:rPr>
                <w:rFonts w:hint="eastAsia" w:ascii="宋体" w:hAnsi="宋体" w:eastAsia="宋体" w:cs="宋体"/>
                <w:i w:val="0"/>
                <w:iCs w:val="0"/>
                <w:color w:val="000000"/>
                <w:kern w:val="0"/>
                <w:sz w:val="20"/>
                <w:szCs w:val="20"/>
                <w:u w:val="none"/>
                <w:lang w:val="en-US" w:eastAsia="zh-CN" w:bidi="ar"/>
              </w:rPr>
              <w:t>*6000</w:t>
            </w:r>
            <w:r>
              <w:rPr>
                <w:rFonts w:hint="eastAsia" w:ascii="宋体" w:hAnsi="宋体" w:cs="宋体"/>
                <w:i w:val="0"/>
                <w:iCs w:val="0"/>
                <w:color w:val="000000"/>
                <w:kern w:val="0"/>
                <w:sz w:val="20"/>
                <w:szCs w:val="20"/>
                <w:u w:val="none"/>
                <w:lang w:val="en-US" w:eastAsia="zh-CN" w:bidi="ar"/>
              </w:rPr>
              <w:t>，悬臂：对角（100-150）*4*5000，地笼M24*6*1280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2.杆件颜色与淮安生态新城现有风格保持一致，为方便以后扩展预留不少于4个枪机法兰和1个球机螺口；</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3.杆件采用热镀锌钢管，热镀锌厚度不小于86um，立杆整体喷塑，外观无鼓泡、裂纹或漏喷现象表面光滑色泽一致。                                                                                                                                                                   4.悬臂与立杆相接处、杆件底部均应焊接固定法兰盘。</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5.基础防雷接地主要性能标准:地脚法兰；采用24以上圆钢，砼：采用C25商用级混凝土，底部经行美化加工，与周围环境相协调，基础的浇注、混凝土强度等级必须符合GB50204的要求，钢筋混凝土式基础；</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6.防雷符合《安全防范系统雷电浪涌防护技术要求》，保护地线可使用规格为40m*4mm以上镀锌扁钢制作，焊接到每个钢制杆件的法兰盘上，焊接处作防腐处理，且保护地线应与接地体/接地棒有效连接；</w:t>
            </w:r>
          </w:p>
        </w:tc>
        <w:tc>
          <w:tcPr>
            <w:tcW w:w="101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957F0">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套</w:t>
            </w:r>
          </w:p>
        </w:tc>
        <w:tc>
          <w:tcPr>
            <w:tcW w:w="1177" w:type="dxa"/>
            <w:gridSpan w:val="2"/>
            <w:tcBorders>
              <w:top w:val="single" w:color="000000" w:sz="4" w:space="0"/>
              <w:left w:val="single" w:color="000000" w:sz="4" w:space="0"/>
              <w:bottom w:val="single" w:color="000000" w:sz="4" w:space="0"/>
              <w:right w:val="single" w:color="auto" w:sz="4" w:space="0"/>
            </w:tcBorders>
            <w:shd w:val="clear" w:color="auto" w:fill="auto"/>
            <w:noWrap/>
            <w:vAlign w:val="center"/>
          </w:tcPr>
          <w:p w14:paraId="1DB89935">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129" w:type="dxa"/>
            <w:tcBorders>
              <w:top w:val="single" w:color="auto" w:sz="4" w:space="0"/>
              <w:left w:val="single" w:color="auto" w:sz="4" w:space="0"/>
              <w:bottom w:val="single" w:color="auto" w:sz="4" w:space="0"/>
              <w:right w:val="single" w:color="auto" w:sz="4" w:space="0"/>
            </w:tcBorders>
            <w:shd w:val="clear" w:color="auto" w:fill="auto"/>
            <w:vAlign w:val="center"/>
          </w:tcPr>
          <w:p w14:paraId="407AA38D">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763" w:type="dxa"/>
            <w:tcBorders>
              <w:top w:val="single" w:color="auto" w:sz="4" w:space="0"/>
              <w:left w:val="single" w:color="auto" w:sz="4" w:space="0"/>
              <w:bottom w:val="single" w:color="auto" w:sz="4" w:space="0"/>
              <w:right w:val="single" w:color="auto" w:sz="4" w:space="0"/>
            </w:tcBorders>
            <w:shd w:val="clear" w:color="auto" w:fill="auto"/>
            <w:vAlign w:val="center"/>
          </w:tcPr>
          <w:p w14:paraId="01FC2B8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4"/>
                <w:szCs w:val="24"/>
                <w:u w:val="none"/>
              </w:rPr>
            </w:pPr>
          </w:p>
        </w:tc>
        <w:tc>
          <w:tcPr>
            <w:tcW w:w="1080" w:type="dxa"/>
            <w:tcBorders>
              <w:top w:val="single" w:color="auto" w:sz="4" w:space="0"/>
              <w:left w:val="single" w:color="auto" w:sz="4" w:space="0"/>
              <w:bottom w:val="single" w:color="auto" w:sz="4" w:space="0"/>
              <w:right w:val="single" w:color="auto" w:sz="4" w:space="0"/>
            </w:tcBorders>
            <w:shd w:val="clear" w:color="auto" w:fill="auto"/>
            <w:vAlign w:val="center"/>
          </w:tcPr>
          <w:p w14:paraId="3740A5EF">
            <w:pPr>
              <w:keepNext w:val="0"/>
              <w:keepLines w:val="0"/>
              <w:pageBreakBefore w:val="0"/>
              <w:widowControl/>
              <w:kinsoku/>
              <w:wordWrap/>
              <w:overflowPunct/>
              <w:topLinePunct w:val="0"/>
              <w:autoSpaceDE/>
              <w:autoSpaceDN/>
              <w:bidi w:val="0"/>
              <w:adjustRightInd/>
              <w:snapToGrid/>
              <w:spacing w:line="360" w:lineRule="auto"/>
              <w:ind w:firstLine="0" w:firstLineChars="0"/>
              <w:rPr>
                <w:rFonts w:hint="eastAsia" w:ascii="宋体" w:hAnsi="宋体" w:eastAsia="宋体" w:cs="宋体"/>
                <w:i w:val="0"/>
                <w:iCs w:val="0"/>
                <w:color w:val="000000"/>
                <w:sz w:val="22"/>
                <w:szCs w:val="22"/>
                <w:u w:val="none"/>
                <w:lang w:val="en-US" w:eastAsia="zh-CN"/>
              </w:rPr>
            </w:pPr>
          </w:p>
        </w:tc>
      </w:tr>
      <w:tr w14:paraId="6275D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7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0D2144">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default" w:ascii="宋体" w:hAnsi="宋体" w:eastAsia="宋体" w:cs="宋体"/>
                <w:i w:val="0"/>
                <w:iCs w:val="0"/>
                <w:color w:val="000000"/>
                <w:sz w:val="22"/>
                <w:szCs w:val="22"/>
                <w:u w:val="none"/>
                <w:lang w:val="en-US" w:eastAsia="zh-CN"/>
              </w:rPr>
            </w:pPr>
            <w:r>
              <w:rPr>
                <w:rFonts w:hint="eastAsia" w:ascii="宋体" w:hAnsi="宋体" w:cs="宋体"/>
                <w:i w:val="0"/>
                <w:iCs w:val="0"/>
                <w:color w:val="000000"/>
                <w:sz w:val="22"/>
                <w:szCs w:val="22"/>
                <w:u w:val="none"/>
                <w:lang w:val="en-US" w:eastAsia="zh-CN"/>
              </w:rPr>
              <w:t>5</w:t>
            </w:r>
          </w:p>
        </w:tc>
        <w:tc>
          <w:tcPr>
            <w:tcW w:w="13082"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BC6FDD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r>
              <w:rPr>
                <w:rFonts w:hint="eastAsia" w:ascii="宋体" w:hAnsi="宋体" w:eastAsia="宋体" w:cs="宋体"/>
                <w:i w:val="0"/>
                <w:iCs w:val="0"/>
                <w:color w:val="000000"/>
                <w:kern w:val="0"/>
                <w:sz w:val="22"/>
                <w:szCs w:val="22"/>
                <w:u w:val="single"/>
                <w:lang w:val="en-US" w:eastAsia="zh-CN" w:bidi="ar"/>
              </w:rPr>
              <w:t xml:space="preserve">          </w:t>
            </w:r>
            <w:r>
              <w:rPr>
                <w:rFonts w:hint="eastAsia" w:ascii="宋体" w:hAnsi="宋体" w:eastAsia="宋体" w:cs="宋体"/>
                <w:i w:val="0"/>
                <w:iCs w:val="0"/>
                <w:color w:val="000000"/>
                <w:kern w:val="0"/>
                <w:sz w:val="22"/>
                <w:szCs w:val="22"/>
                <w:u w:val="none"/>
                <w:lang w:val="en-US" w:eastAsia="zh-CN" w:bidi="ar"/>
              </w:rPr>
              <w:t>元</w:t>
            </w:r>
          </w:p>
        </w:tc>
      </w:tr>
      <w:tr w14:paraId="75728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3860"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86AABCC">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eastAsia="宋体" w:cs="宋体"/>
                <w:i w:val="0"/>
                <w:iCs w:val="0"/>
                <w:color w:val="FF0000"/>
                <w:kern w:val="0"/>
                <w:sz w:val="24"/>
                <w:szCs w:val="24"/>
                <w:u w:val="none"/>
                <w:lang w:val="en-US" w:eastAsia="zh-CN" w:bidi="ar"/>
              </w:rPr>
              <w:t>注：以上报价含可抵扣的增值税专用发票、运费以及安装调试费相关服务费用。</w:t>
            </w:r>
          </w:p>
        </w:tc>
      </w:tr>
      <w:tr w14:paraId="148050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8"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8A8DAE">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是否接受保证金（控制价的2%）           </w:t>
            </w:r>
          </w:p>
        </w:tc>
        <w:tc>
          <w:tcPr>
            <w:tcW w:w="4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9851E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A925E2">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是否接受履约保证金（成交金额的10%）</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D54A4D">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C77AE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0"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D1588F">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 xml:space="preserve">质保期：             </w:t>
            </w:r>
          </w:p>
        </w:tc>
        <w:tc>
          <w:tcPr>
            <w:tcW w:w="4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197D04">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r>
              <w:rPr>
                <w:rFonts w:hint="eastAsia" w:ascii="宋体" w:hAnsi="宋体" w:cs="宋体"/>
                <w:i w:val="0"/>
                <w:iCs w:val="0"/>
                <w:color w:val="FF0000"/>
                <w:kern w:val="0"/>
                <w:sz w:val="24"/>
                <w:szCs w:val="24"/>
                <w:u w:val="none"/>
                <w:lang w:val="en-US" w:eastAsia="zh-CN" w:bidi="ar"/>
              </w:rPr>
              <w:t>十五</w:t>
            </w:r>
            <w:r>
              <w:rPr>
                <w:rFonts w:hint="eastAsia" w:ascii="宋体" w:hAnsi="宋体" w:eastAsia="宋体" w:cs="宋体"/>
                <w:i w:val="0"/>
                <w:iCs w:val="0"/>
                <w:color w:val="FF0000"/>
                <w:kern w:val="0"/>
                <w:sz w:val="24"/>
                <w:szCs w:val="24"/>
                <w:u w:val="none"/>
                <w:lang w:val="en-US" w:eastAsia="zh-CN" w:bidi="ar"/>
              </w:rPr>
              <w:t>年</w:t>
            </w: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49AA605">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报价有效期：</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996BAB0">
            <w:pPr>
              <w:keepNext w:val="0"/>
              <w:keepLines w:val="0"/>
              <w:pageBreakBefore w:val="0"/>
              <w:widowControl/>
              <w:kinsoku/>
              <w:wordWrap/>
              <w:overflowPunct/>
              <w:topLinePunct w:val="0"/>
              <w:autoSpaceDE/>
              <w:autoSpaceDN/>
              <w:bidi w:val="0"/>
              <w:adjustRightInd/>
              <w:snapToGrid/>
              <w:spacing w:line="360" w:lineRule="auto"/>
              <w:ind w:firstLine="0" w:firstLineChars="0"/>
              <w:jc w:val="center"/>
              <w:rPr>
                <w:rFonts w:hint="eastAsia" w:ascii="宋体" w:hAnsi="宋体" w:eastAsia="宋体" w:cs="宋体"/>
                <w:i w:val="0"/>
                <w:iCs w:val="0"/>
                <w:color w:val="FF0000"/>
                <w:sz w:val="24"/>
                <w:szCs w:val="24"/>
                <w:u w:val="none"/>
              </w:rPr>
            </w:pPr>
          </w:p>
        </w:tc>
      </w:tr>
      <w:tr w14:paraId="7D4F48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62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330571">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aps w:val="0"/>
                <w:color w:val="000000"/>
                <w:spacing w:val="0"/>
                <w:sz w:val="24"/>
                <w:szCs w:val="24"/>
                <w:shd w:val="clear" w:color="auto" w:fill="FFFFFF"/>
                <w:lang w:val="en-US" w:eastAsia="zh-CN"/>
              </w:rPr>
              <w:t>到货时间</w:t>
            </w:r>
            <w:r>
              <w:rPr>
                <w:rFonts w:hint="eastAsia" w:ascii="宋体" w:hAnsi="宋体" w:eastAsia="宋体" w:cs="宋体"/>
                <w:i w:val="0"/>
                <w:iCs w:val="0"/>
                <w:color w:val="000000"/>
                <w:kern w:val="0"/>
                <w:sz w:val="24"/>
                <w:szCs w:val="24"/>
                <w:u w:val="none"/>
                <w:lang w:val="en-US" w:eastAsia="zh-CN" w:bidi="ar"/>
              </w:rPr>
              <w:t xml:space="preserve">：             </w:t>
            </w:r>
          </w:p>
        </w:tc>
        <w:tc>
          <w:tcPr>
            <w:tcW w:w="446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0BB30">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FF0000"/>
                <w:sz w:val="24"/>
                <w:szCs w:val="24"/>
                <w:u w:val="none"/>
              </w:rPr>
            </w:pPr>
          </w:p>
        </w:tc>
        <w:tc>
          <w:tcPr>
            <w:tcW w:w="2655"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B7AFB8">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付款方式</w:t>
            </w:r>
          </w:p>
        </w:tc>
        <w:tc>
          <w:tcPr>
            <w:tcW w:w="411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4729AE3">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left"/>
              <w:textAlignment w:val="center"/>
              <w:rPr>
                <w:rFonts w:hint="default" w:ascii="宋体" w:hAnsi="宋体" w:eastAsia="宋体" w:cs="宋体"/>
                <w:i w:val="0"/>
                <w:iCs w:val="0"/>
                <w:color w:val="FF0000"/>
                <w:sz w:val="24"/>
                <w:szCs w:val="24"/>
                <w:u w:val="none"/>
                <w:lang w:val="en-US"/>
              </w:rPr>
            </w:pPr>
            <w:r>
              <w:rPr>
                <w:rFonts w:hint="eastAsia" w:ascii="宋体" w:hAnsi="宋体" w:cs="宋体"/>
                <w:i w:val="0"/>
                <w:iCs w:val="0"/>
                <w:color w:val="FF0000"/>
                <w:kern w:val="0"/>
                <w:sz w:val="24"/>
                <w:szCs w:val="24"/>
                <w:u w:val="none"/>
                <w:lang w:val="en-US" w:eastAsia="zh-CN" w:bidi="ar"/>
              </w:rPr>
              <w:t>合同签订后预付合同价款的30%，货到后3个月内支付剩余尾款。</w:t>
            </w:r>
          </w:p>
        </w:tc>
      </w:tr>
    </w:tbl>
    <w:p w14:paraId="3CAB8310">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14:paraId="1A9E2542">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14:paraId="7ADD536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14:paraId="33C8C846">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14:paraId="14ABFE43">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14:paraId="368586EA">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14:paraId="6DCB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E9F4905">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14:paraId="1EC6FFF1">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14:paraId="204FE2E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14:paraId="6D8F623B">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14:paraId="0A6294A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14:paraId="63F64E0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14:paraId="5C22A7B3">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14:paraId="6E702161">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14:paraId="6FC4CB5C">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14:paraId="7D202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02D3247D">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50B48D2">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7A96C431">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4A42498">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F22E9F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0A2340C0">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500C084">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60586030">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DE0269B">
            <w:pPr>
              <w:pStyle w:val="17"/>
              <w:spacing w:line="340" w:lineRule="exact"/>
              <w:ind w:left="0" w:leftChars="0" w:firstLine="0" w:firstLineChars="0"/>
              <w:jc w:val="both"/>
              <w:rPr>
                <w:rFonts w:hint="eastAsia" w:ascii="仿宋" w:hAnsi="仿宋" w:eastAsia="仿宋" w:cs="仿宋"/>
                <w:color w:val="auto"/>
                <w:sz w:val="24"/>
                <w:szCs w:val="24"/>
              </w:rPr>
            </w:pPr>
          </w:p>
        </w:tc>
      </w:tr>
      <w:tr w14:paraId="294FB1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15C7D3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5AC7D78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4203DF7C">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E745423">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4B1565B">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83BBD87">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500D610">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743FFDE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5825404">
            <w:pPr>
              <w:pStyle w:val="17"/>
              <w:spacing w:line="340" w:lineRule="exact"/>
              <w:ind w:left="0" w:leftChars="0" w:firstLine="0" w:firstLineChars="0"/>
              <w:jc w:val="both"/>
              <w:rPr>
                <w:rFonts w:hint="eastAsia" w:ascii="仿宋" w:hAnsi="仿宋" w:eastAsia="仿宋" w:cs="仿宋"/>
                <w:color w:val="auto"/>
                <w:sz w:val="24"/>
                <w:szCs w:val="24"/>
              </w:rPr>
            </w:pPr>
          </w:p>
        </w:tc>
      </w:tr>
      <w:tr w14:paraId="214E2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3ACED538">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1DD506B6">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051CB52">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570F5155">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34661274">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6A8E008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3B4D527B">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0357A64F">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1E89AA6">
            <w:pPr>
              <w:pStyle w:val="17"/>
              <w:spacing w:line="340" w:lineRule="exact"/>
              <w:ind w:left="0" w:leftChars="0" w:firstLine="0" w:firstLineChars="0"/>
              <w:jc w:val="both"/>
              <w:rPr>
                <w:rFonts w:hint="eastAsia" w:ascii="仿宋" w:hAnsi="仿宋" w:eastAsia="仿宋" w:cs="仿宋"/>
                <w:color w:val="auto"/>
                <w:sz w:val="24"/>
                <w:szCs w:val="24"/>
              </w:rPr>
            </w:pPr>
          </w:p>
        </w:tc>
      </w:tr>
      <w:tr w14:paraId="2885A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5A970A33">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2F98A4F8">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166DBFA7">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2210417C">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916DD5C">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1456EEF3">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600E3D3E">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2A38FE09">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153FD2F4">
            <w:pPr>
              <w:pStyle w:val="17"/>
              <w:spacing w:line="340" w:lineRule="exact"/>
              <w:ind w:left="0" w:leftChars="0" w:firstLine="0" w:firstLineChars="0"/>
              <w:jc w:val="both"/>
              <w:rPr>
                <w:rFonts w:hint="eastAsia" w:ascii="仿宋" w:hAnsi="仿宋" w:eastAsia="仿宋" w:cs="仿宋"/>
                <w:color w:val="auto"/>
                <w:sz w:val="24"/>
                <w:szCs w:val="24"/>
              </w:rPr>
            </w:pPr>
          </w:p>
        </w:tc>
      </w:tr>
      <w:tr w14:paraId="36FDFB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4045BD2B">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43D8C14F">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6D13126A">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7493E5A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06ACB0BA">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2A106756">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5A8AA5E8">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46BB481C">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3CB59BA7">
            <w:pPr>
              <w:pStyle w:val="17"/>
              <w:spacing w:line="340" w:lineRule="exact"/>
              <w:ind w:left="0" w:leftChars="0" w:firstLine="0" w:firstLineChars="0"/>
              <w:jc w:val="both"/>
              <w:rPr>
                <w:rFonts w:hint="eastAsia" w:ascii="仿宋" w:hAnsi="仿宋" w:eastAsia="仿宋" w:cs="仿宋"/>
                <w:color w:val="auto"/>
                <w:sz w:val="24"/>
                <w:szCs w:val="24"/>
              </w:rPr>
            </w:pPr>
          </w:p>
        </w:tc>
      </w:tr>
      <w:tr w14:paraId="20BAEB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93B681">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78FAB221">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3D2A7C45">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86E1520">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60950E33">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59DFFD44">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0A546512">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4763E25">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5FEC1D37">
            <w:pPr>
              <w:pStyle w:val="17"/>
              <w:spacing w:line="340" w:lineRule="exact"/>
              <w:ind w:left="0" w:leftChars="0" w:firstLine="0" w:firstLineChars="0"/>
              <w:jc w:val="both"/>
              <w:rPr>
                <w:rFonts w:hint="eastAsia" w:ascii="仿宋" w:hAnsi="仿宋" w:eastAsia="仿宋" w:cs="仿宋"/>
                <w:color w:val="auto"/>
                <w:sz w:val="24"/>
                <w:szCs w:val="24"/>
              </w:rPr>
            </w:pPr>
          </w:p>
        </w:tc>
      </w:tr>
      <w:tr w14:paraId="3EF2B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14:paraId="2DD107CC">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14:paraId="66433690">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14:paraId="508512EF">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14:paraId="3748B912">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14:paraId="17AA9338">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14:paraId="42831B3B">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14:paraId="2D03708C">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14:paraId="1EAFD012">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14:paraId="68B72F4D">
            <w:pPr>
              <w:pStyle w:val="17"/>
              <w:spacing w:line="340" w:lineRule="exact"/>
              <w:ind w:left="0" w:leftChars="0" w:firstLine="0" w:firstLineChars="0"/>
              <w:jc w:val="both"/>
              <w:rPr>
                <w:rFonts w:hint="eastAsia" w:ascii="仿宋" w:hAnsi="仿宋" w:eastAsia="仿宋" w:cs="仿宋"/>
                <w:color w:val="auto"/>
                <w:sz w:val="24"/>
                <w:szCs w:val="24"/>
              </w:rPr>
            </w:pPr>
          </w:p>
        </w:tc>
      </w:tr>
      <w:tr w14:paraId="47015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14:paraId="117BF643">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14:paraId="2AE3396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14:paraId="1EA9D1B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14:paraId="6A2300D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1、付款条件:合同签订后预付合同价款的30%，货到后3个月内支付剩余尾款。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p>
    <w:p w14:paraId="73D0E11B">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2、付款形式：银行转账。</w:t>
      </w:r>
      <w:bookmarkStart w:id="0" w:name="_GoBack"/>
      <w:bookmarkEnd w:id="0"/>
    </w:p>
    <w:p w14:paraId="229671F4">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14:paraId="27B6215D">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14:paraId="4068DDB1">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14:paraId="195BE36A">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14:paraId="5F4122EB">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14:paraId="237B9263">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14:paraId="5AA9712B">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14:paraId="3D6AEB3A">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p>
    <w:p w14:paraId="5DB87B69">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14:paraId="64BD878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14:paraId="330A422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14:paraId="3CC73981">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14:paraId="57E58AA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14:paraId="6DE47E1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14:paraId="78FB601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14:paraId="67830557">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14:paraId="4D71366A">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14:paraId="702B5FB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14:paraId="3D23EC4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14:paraId="19169E6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14:paraId="1B7B125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14:paraId="19056518">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14:paraId="1EDDC5D7">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14:paraId="06BFF785">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14:paraId="6CBD221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14:paraId="3902680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14:paraId="2ECA88E6">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14:paraId="03E6C6A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14:paraId="10C4B41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14:paraId="053DE920">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14:paraId="0D168B56">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14:paraId="3EB8053C">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14:paraId="5AA8AD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14:paraId="3424C0A4">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14:paraId="555A587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14:paraId="67024CFE">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14:paraId="417C4B3F">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14:paraId="4E596C89">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14:paraId="1EDEA238">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14:paraId="155F0E94">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14:paraId="358C584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14:paraId="2FE09CDB">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14:paraId="29F3E0F0">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14:paraId="1893531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14:paraId="16CB0318">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14:paraId="2E284E79">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14:paraId="2B6346B2">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14:paraId="77DD6CB3">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14:paraId="74470A5C">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14:paraId="37EA1864">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14:paraId="37743553">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14:paraId="4BE6E0EF">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14:paraId="512728ED">
      <w:pPr>
        <w:ind w:left="0" w:leftChars="0" w:firstLine="0" w:firstLineChars="0"/>
      </w:pPr>
    </w:p>
    <w:p w14:paraId="691B6B0E"/>
    <w:p w14:paraId="136FC07F"/>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5ZTYyNjg3YmZhODEyMzFkMjcxZGE4YWEyZDQ2MTgifQ=="/>
  </w:docVars>
  <w:rsids>
    <w:rsidRoot w:val="1F741D8C"/>
    <w:rsid w:val="00F471B2"/>
    <w:rsid w:val="0140267A"/>
    <w:rsid w:val="02BD280C"/>
    <w:rsid w:val="02BD7BE0"/>
    <w:rsid w:val="03626CD0"/>
    <w:rsid w:val="03BB36BB"/>
    <w:rsid w:val="06E65ABA"/>
    <w:rsid w:val="082F30B8"/>
    <w:rsid w:val="0BC2638F"/>
    <w:rsid w:val="0BDC6B78"/>
    <w:rsid w:val="0C882A07"/>
    <w:rsid w:val="0C9A5BC4"/>
    <w:rsid w:val="0CD142BE"/>
    <w:rsid w:val="0D78696A"/>
    <w:rsid w:val="0DBF30C4"/>
    <w:rsid w:val="100159F1"/>
    <w:rsid w:val="10275305"/>
    <w:rsid w:val="10941E2C"/>
    <w:rsid w:val="138B678C"/>
    <w:rsid w:val="13A43BC7"/>
    <w:rsid w:val="144B0B25"/>
    <w:rsid w:val="152A5291"/>
    <w:rsid w:val="157C124F"/>
    <w:rsid w:val="15B405D8"/>
    <w:rsid w:val="173B2189"/>
    <w:rsid w:val="1870435E"/>
    <w:rsid w:val="18B65219"/>
    <w:rsid w:val="193251CA"/>
    <w:rsid w:val="1A48720E"/>
    <w:rsid w:val="1A921AAB"/>
    <w:rsid w:val="1B811C42"/>
    <w:rsid w:val="1CB642A6"/>
    <w:rsid w:val="1CBE542C"/>
    <w:rsid w:val="1E434544"/>
    <w:rsid w:val="1F741D8C"/>
    <w:rsid w:val="1FC0011B"/>
    <w:rsid w:val="1FF000D2"/>
    <w:rsid w:val="245503E6"/>
    <w:rsid w:val="25BA7F75"/>
    <w:rsid w:val="25DE44B5"/>
    <w:rsid w:val="264801BD"/>
    <w:rsid w:val="26A67AF4"/>
    <w:rsid w:val="292E08DE"/>
    <w:rsid w:val="2B9E5DD1"/>
    <w:rsid w:val="2C761843"/>
    <w:rsid w:val="2D4E2C33"/>
    <w:rsid w:val="2E1B2848"/>
    <w:rsid w:val="2E342253"/>
    <w:rsid w:val="300D6BCC"/>
    <w:rsid w:val="31140310"/>
    <w:rsid w:val="345319C9"/>
    <w:rsid w:val="39963E4D"/>
    <w:rsid w:val="3AEF3EC0"/>
    <w:rsid w:val="3B275F4B"/>
    <w:rsid w:val="3E5157CB"/>
    <w:rsid w:val="420E65EA"/>
    <w:rsid w:val="42BF1B92"/>
    <w:rsid w:val="435E2995"/>
    <w:rsid w:val="43966372"/>
    <w:rsid w:val="44EF43A5"/>
    <w:rsid w:val="46836F00"/>
    <w:rsid w:val="46AE2EAA"/>
    <w:rsid w:val="48832749"/>
    <w:rsid w:val="493C6A78"/>
    <w:rsid w:val="49AB2DE5"/>
    <w:rsid w:val="4A0E06F8"/>
    <w:rsid w:val="4B1A7BD1"/>
    <w:rsid w:val="4BB038DA"/>
    <w:rsid w:val="4C73767A"/>
    <w:rsid w:val="4C962CF7"/>
    <w:rsid w:val="4E802F1D"/>
    <w:rsid w:val="4EF042FA"/>
    <w:rsid w:val="4F211290"/>
    <w:rsid w:val="50417986"/>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5F729C7"/>
    <w:rsid w:val="66934D57"/>
    <w:rsid w:val="677551D7"/>
    <w:rsid w:val="69FD1FFD"/>
    <w:rsid w:val="6BB31049"/>
    <w:rsid w:val="6BF15785"/>
    <w:rsid w:val="6CF430F2"/>
    <w:rsid w:val="6D782009"/>
    <w:rsid w:val="6F321DFD"/>
    <w:rsid w:val="6F575DD1"/>
    <w:rsid w:val="70155795"/>
    <w:rsid w:val="70314EAA"/>
    <w:rsid w:val="706B3AE0"/>
    <w:rsid w:val="71E07B02"/>
    <w:rsid w:val="73CE218C"/>
    <w:rsid w:val="73F71A18"/>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autoRedefine/>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autoRedefine/>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autoRedefine/>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autoRedefine/>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autoRedefine/>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autoRedefine/>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autoRedefine/>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autoRedefine/>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autoRedefine/>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autoRedefine/>
    <w:semiHidden/>
    <w:qFormat/>
    <w:uiPriority w:val="0"/>
  </w:style>
  <w:style w:type="table" w:default="1" w:styleId="24">
    <w:name w:val="Normal Table"/>
    <w:autoRedefine/>
    <w:semiHidden/>
    <w:qFormat/>
    <w:uiPriority w:val="0"/>
    <w:tblPr>
      <w:tblCellMar>
        <w:top w:w="0" w:type="dxa"/>
        <w:left w:w="108" w:type="dxa"/>
        <w:bottom w:w="0" w:type="dxa"/>
        <w:right w:w="108" w:type="dxa"/>
      </w:tblCellMar>
    </w:tblPr>
  </w:style>
  <w:style w:type="paragraph" w:styleId="3">
    <w:name w:val="Title"/>
    <w:basedOn w:val="4"/>
    <w:next w:val="1"/>
    <w:autoRedefine/>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autoRedefine/>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autoRedefine/>
    <w:qFormat/>
    <w:uiPriority w:val="0"/>
    <w:pPr>
      <w:spacing w:before="120"/>
    </w:pPr>
    <w:rPr>
      <w:rFonts w:ascii="Arial" w:hAnsi="Arial"/>
      <w:sz w:val="24"/>
    </w:rPr>
  </w:style>
  <w:style w:type="paragraph" w:styleId="15">
    <w:name w:val="Body Text"/>
    <w:basedOn w:val="1"/>
    <w:next w:val="1"/>
    <w:autoRedefine/>
    <w:unhideWhenUsed/>
    <w:qFormat/>
    <w:uiPriority w:val="99"/>
    <w:pPr>
      <w:spacing w:after="120"/>
    </w:pPr>
    <w:rPr>
      <w:sz w:val="28"/>
    </w:rPr>
  </w:style>
  <w:style w:type="paragraph" w:styleId="16">
    <w:name w:val="Body Text Indent"/>
    <w:basedOn w:val="1"/>
    <w:autoRedefine/>
    <w:qFormat/>
    <w:uiPriority w:val="99"/>
    <w:pPr>
      <w:spacing w:after="120"/>
      <w:ind w:left="420" w:leftChars="200"/>
    </w:pPr>
  </w:style>
  <w:style w:type="paragraph" w:styleId="17">
    <w:name w:val="Plain Text"/>
    <w:basedOn w:val="1"/>
    <w:next w:val="18"/>
    <w:autoRedefine/>
    <w:unhideWhenUsed/>
    <w:qFormat/>
    <w:uiPriority w:val="0"/>
    <w:rPr>
      <w:rFonts w:ascii="宋体" w:hAnsi="Courier New"/>
      <w:szCs w:val="20"/>
    </w:rPr>
  </w:style>
  <w:style w:type="paragraph" w:customStyle="1" w:styleId="18">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autoRedefine/>
    <w:qFormat/>
    <w:uiPriority w:val="0"/>
    <w:rPr>
      <w:sz w:val="24"/>
    </w:rPr>
  </w:style>
  <w:style w:type="paragraph" w:styleId="22">
    <w:name w:val="Body Text First Indent"/>
    <w:basedOn w:val="1"/>
    <w:next w:val="23"/>
    <w:autoRedefine/>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autoRedefine/>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autoRedefine/>
    <w:qFormat/>
    <w:uiPriority w:val="0"/>
    <w:rPr>
      <w:color w:val="0000FF"/>
      <w:u w:val="single"/>
    </w:rPr>
  </w:style>
  <w:style w:type="paragraph" w:customStyle="1" w:styleId="28">
    <w:name w:val="正文1"/>
    <w:next w:val="1"/>
    <w:autoRedefine/>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autoRedefine/>
    <w:qFormat/>
    <w:uiPriority w:val="0"/>
    <w:rPr>
      <w:rFonts w:hint="eastAsia" w:ascii="宋体" w:hAnsi="宋体" w:eastAsia="宋体" w:cs="宋体"/>
      <w:color w:val="000000"/>
      <w:sz w:val="22"/>
      <w:szCs w:val="22"/>
      <w:u w:val="none"/>
    </w:rPr>
  </w:style>
  <w:style w:type="character" w:customStyle="1" w:styleId="31">
    <w:name w:val="font112"/>
    <w:basedOn w:val="26"/>
    <w:autoRedefine/>
    <w:qFormat/>
    <w:uiPriority w:val="0"/>
    <w:rPr>
      <w:rFonts w:hint="eastAsia" w:ascii="宋体" w:hAnsi="宋体" w:eastAsia="宋体" w:cs="宋体"/>
      <w:color w:val="000000"/>
      <w:sz w:val="24"/>
      <w:szCs w:val="24"/>
      <w:u w:val="none"/>
    </w:rPr>
  </w:style>
  <w:style w:type="character" w:customStyle="1" w:styleId="32">
    <w:name w:val="font21"/>
    <w:basedOn w:val="26"/>
    <w:autoRedefine/>
    <w:qFormat/>
    <w:uiPriority w:val="0"/>
    <w:rPr>
      <w:rFonts w:hint="eastAsia" w:ascii="宋体" w:hAnsi="宋体" w:eastAsia="宋体" w:cs="宋体"/>
      <w:color w:val="000000"/>
      <w:sz w:val="24"/>
      <w:szCs w:val="24"/>
      <w:u w:val="none"/>
    </w:rPr>
  </w:style>
  <w:style w:type="character" w:customStyle="1" w:styleId="33">
    <w:name w:val="font121"/>
    <w:basedOn w:val="26"/>
    <w:autoRedefine/>
    <w:qFormat/>
    <w:uiPriority w:val="0"/>
    <w:rPr>
      <w:rFonts w:hint="eastAsia" w:ascii="宋体" w:hAnsi="宋体" w:eastAsia="宋体" w:cs="宋体"/>
      <w:color w:val="000000"/>
      <w:sz w:val="24"/>
      <w:szCs w:val="24"/>
      <w:u w:val="single"/>
    </w:rPr>
  </w:style>
  <w:style w:type="character" w:customStyle="1" w:styleId="34">
    <w:name w:val="font101"/>
    <w:basedOn w:val="26"/>
    <w:autoRedefine/>
    <w:qFormat/>
    <w:uiPriority w:val="0"/>
    <w:rPr>
      <w:rFonts w:hint="eastAsia" w:ascii="黑体" w:hAnsi="宋体" w:eastAsia="黑体" w:cs="黑体"/>
      <w:color w:val="000000"/>
      <w:sz w:val="24"/>
      <w:szCs w:val="24"/>
      <w:u w:val="none"/>
    </w:rPr>
  </w:style>
  <w:style w:type="character" w:customStyle="1" w:styleId="35">
    <w:name w:val="font12"/>
    <w:basedOn w:val="26"/>
    <w:autoRedefine/>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autoRedefine/>
    <w:qFormat/>
    <w:uiPriority w:val="0"/>
    <w:rPr>
      <w:rFonts w:hint="eastAsia" w:ascii="宋体" w:hAnsi="宋体" w:eastAsia="宋体" w:cs="宋体"/>
      <w:color w:val="000000"/>
      <w:sz w:val="24"/>
      <w:szCs w:val="24"/>
      <w:u w:val="single"/>
    </w:rPr>
  </w:style>
  <w:style w:type="character" w:customStyle="1" w:styleId="37">
    <w:name w:val="font91"/>
    <w:basedOn w:val="26"/>
    <w:autoRedefine/>
    <w:qFormat/>
    <w:uiPriority w:val="0"/>
    <w:rPr>
      <w:rFonts w:hint="eastAsia" w:ascii="黑体" w:hAnsi="宋体" w:eastAsia="黑体" w:cs="黑体"/>
      <w:color w:val="000000"/>
      <w:sz w:val="24"/>
      <w:szCs w:val="24"/>
      <w:u w:val="none"/>
    </w:rPr>
  </w:style>
  <w:style w:type="character" w:customStyle="1" w:styleId="38">
    <w:name w:val="font81"/>
    <w:basedOn w:val="26"/>
    <w:autoRedefine/>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autoRedefine/>
    <w:qFormat/>
    <w:uiPriority w:val="0"/>
    <w:rPr>
      <w:rFonts w:hint="eastAsia" w:ascii="黑体" w:hAnsi="宋体" w:eastAsia="黑体" w:cs="黑体"/>
      <w:color w:val="FF0000"/>
      <w:sz w:val="24"/>
      <w:szCs w:val="24"/>
      <w:u w:val="none"/>
    </w:rPr>
  </w:style>
  <w:style w:type="paragraph" w:customStyle="1" w:styleId="43">
    <w:name w:val="列表段落1"/>
    <w:basedOn w:val="1"/>
    <w:autoRedefine/>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14</Pages>
  <Words>4765</Words>
  <Characters>4917</Characters>
  <Lines>0</Lines>
  <Paragraphs>0</Paragraphs>
  <TotalTime>17</TotalTime>
  <ScaleCrop>false</ScaleCrop>
  <LinksUpToDate>false</LinksUpToDate>
  <CharactersWithSpaces>5934</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乙木绘本</cp:lastModifiedBy>
  <cp:lastPrinted>2023-11-07T01:59:00Z</cp:lastPrinted>
  <dcterms:modified xsi:type="dcterms:W3CDTF">2024-10-25T08:40:46Z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3D3F895B64AE434FB3F02D45E7C4CDD5_13</vt:lpwstr>
  </property>
</Properties>
</file>