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9F3D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6DA046C5">
      <w:pPr>
        <w:rPr>
          <w:rFonts w:hint="eastAsia"/>
          <w:lang w:val="en-US" w:eastAsia="zh-CN"/>
        </w:rPr>
      </w:pPr>
    </w:p>
    <w:p w14:paraId="57BD333B">
      <w:pPr>
        <w:pStyle w:val="3"/>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352F5CD">
      <w:pPr>
        <w:pStyle w:val="3"/>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682C4879">
      <w:pPr>
        <w:pStyle w:val="3"/>
        <w:numPr>
          <w:ilvl w:val="1"/>
          <w:numId w:val="0"/>
        </w:numPr>
        <w:bidi w:val="0"/>
        <w:ind w:left="1200" w:left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4165BBB">
      <w:pPr>
        <w:pStyle w:val="3"/>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铁塔高点租赁询价文件</w:t>
      </w:r>
      <w:bookmarkStart w:id="0" w:name="_GoBack"/>
      <w:bookmarkEnd w:id="0"/>
    </w:p>
    <w:p w14:paraId="141D06CF">
      <w:pPr>
        <w:pStyle w:val="3"/>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1A8FF84">
      <w:pPr>
        <w:pStyle w:val="3"/>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C59A3C2">
      <w:pPr>
        <w:pStyle w:val="3"/>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E572D79">
      <w:pPr>
        <w:pStyle w:val="3"/>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4C994F03">
      <w:pPr>
        <w:pStyle w:val="3"/>
        <w:numPr>
          <w:ilvl w:val="0"/>
          <w:numId w:val="2"/>
        </w:numPr>
        <w:bidi w:val="0"/>
        <w:ind w:left="0" w:leftChars="0" w:firstLine="420" w:firstLineChars="0"/>
        <w:jc w:val="center"/>
      </w:pPr>
      <w:r>
        <w:rPr>
          <w:rFonts w:hint="eastAsia"/>
        </w:rPr>
        <w:t>报 价 函</w:t>
      </w:r>
    </w:p>
    <w:p w14:paraId="41BFDF47">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55841E6">
      <w:pPr>
        <w:spacing w:line="360" w:lineRule="auto"/>
        <w:ind w:firstLine="480"/>
        <w:rPr>
          <w:rFonts w:hint="eastAsia" w:ascii="仿宋" w:hAnsi="仿宋" w:eastAsia="仿宋" w:cs="仿宋"/>
          <w:sz w:val="28"/>
          <w:szCs w:val="28"/>
        </w:rPr>
      </w:pPr>
    </w:p>
    <w:p w14:paraId="5C8CF3D3">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3067A87F">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2D3A00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税前价=税后价/（1+增值税税率）</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5A42250E">
      <w:pPr>
        <w:spacing w:line="360" w:lineRule="auto"/>
        <w:ind w:firstLine="480"/>
        <w:rPr>
          <w:szCs w:val="24"/>
        </w:rPr>
      </w:pPr>
    </w:p>
    <w:p w14:paraId="596B89D6">
      <w:pPr>
        <w:spacing w:line="360" w:lineRule="auto"/>
        <w:ind w:firstLine="480"/>
        <w:rPr>
          <w:szCs w:val="24"/>
        </w:rPr>
      </w:pPr>
    </w:p>
    <w:p w14:paraId="0D893553">
      <w:pPr>
        <w:spacing w:line="360" w:lineRule="auto"/>
        <w:ind w:firstLine="480"/>
        <w:rPr>
          <w:rFonts w:hint="eastAsia" w:ascii="仿宋" w:hAnsi="仿宋" w:eastAsia="仿宋" w:cs="仿宋"/>
          <w:sz w:val="28"/>
          <w:szCs w:val="28"/>
        </w:rPr>
      </w:pPr>
    </w:p>
    <w:p w14:paraId="39CE4171">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077F946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0DB47852">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w:t>
      </w:r>
      <w:r>
        <w:rPr>
          <w:rFonts w:hint="eastAsia" w:ascii="仿宋" w:hAnsi="仿宋" w:eastAsia="仿宋" w:cs="仿宋"/>
          <w:sz w:val="28"/>
          <w:szCs w:val="28"/>
          <w:lang w:eastAsia="zh-CN"/>
        </w:rPr>
        <w:t>联系电话：</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4503C0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10E99C9">
      <w:pPr>
        <w:pStyle w:val="14"/>
        <w:rPr>
          <w:rFonts w:hint="eastAsia" w:ascii="仿宋" w:hAnsi="仿宋" w:eastAsia="仿宋" w:cs="仿宋"/>
          <w:sz w:val="28"/>
          <w:szCs w:val="28"/>
        </w:rPr>
      </w:pPr>
    </w:p>
    <w:p w14:paraId="1172525A">
      <w:pPr>
        <w:pStyle w:val="3"/>
        <w:numPr>
          <w:ilvl w:val="1"/>
          <w:numId w:val="0"/>
        </w:numPr>
        <w:bidi w:val="0"/>
        <w:ind w:left="0" w:leftChars="0" w:firstLine="0" w:firstLineChars="0"/>
        <w:jc w:val="left"/>
        <w:rPr>
          <w:rFonts w:hint="eastAsia"/>
          <w:lang w:val="zh-CN" w:eastAsia="zh-CN"/>
        </w:rPr>
        <w:sectPr>
          <w:pgSz w:w="11906" w:h="16838"/>
          <w:pgMar w:top="1440" w:right="1800" w:bottom="1440" w:left="1800" w:header="851" w:footer="992" w:gutter="0"/>
          <w:cols w:space="425" w:num="1"/>
          <w:docGrid w:type="lines" w:linePitch="312" w:charSpace="0"/>
        </w:sectPr>
      </w:pPr>
    </w:p>
    <w:p w14:paraId="4A3FFC35">
      <w:pPr>
        <w:pStyle w:val="3"/>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627E17F3">
      <w:pPr>
        <w:pStyle w:val="3"/>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7FC35DE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18C09D8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521BB9C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2EDD943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355C27B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2BFA1860">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C5261A7">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3D929392">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1E69579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433A58A9">
      <w:pPr>
        <w:ind w:firstLine="482"/>
        <w:rPr>
          <w:rFonts w:hint="eastAsia" w:ascii="仿宋" w:hAnsi="仿宋" w:eastAsia="仿宋" w:cs="仿宋"/>
          <w:b/>
          <w:bCs/>
          <w:sz w:val="28"/>
          <w:szCs w:val="28"/>
          <w:lang w:val="zh-CN"/>
        </w:rPr>
      </w:pPr>
    </w:p>
    <w:p w14:paraId="1D39F12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32056D4">
      <w:pPr>
        <w:ind w:firstLine="482"/>
        <w:rPr>
          <w:rFonts w:hint="eastAsia" w:ascii="仿宋" w:hAnsi="仿宋" w:eastAsia="仿宋" w:cs="仿宋"/>
          <w:b/>
          <w:bCs/>
          <w:szCs w:val="24"/>
          <w:lang w:val="zh-CN"/>
        </w:rPr>
      </w:pPr>
    </w:p>
    <w:tbl>
      <w:tblPr>
        <w:tblStyle w:val="26"/>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3F8A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3589E77D">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5F00CAB6">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F29A026">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1459D55">
      <w:pPr>
        <w:pStyle w:val="3"/>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090F7AE7">
      <w:pPr>
        <w:rPr>
          <w:rFonts w:hint="eastAsia"/>
          <w:lang w:val="zh-CN" w:eastAsia="zh-CN"/>
        </w:rPr>
      </w:pPr>
    </w:p>
    <w:p w14:paraId="0DC3B75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0B547D0E">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6795173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4D5CC7D1">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74CE0F4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45D5862E">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5EF938E">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1BD1453A">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26EF9941">
      <w:pPr>
        <w:autoSpaceDE w:val="0"/>
        <w:autoSpaceDN w:val="0"/>
        <w:adjustRightInd w:val="0"/>
        <w:ind w:firstLine="482"/>
        <w:rPr>
          <w:rFonts w:hint="eastAsia" w:ascii="仿宋" w:hAnsi="仿宋" w:eastAsia="仿宋" w:cs="仿宋"/>
          <w:b/>
          <w:szCs w:val="24"/>
          <w:lang w:val="zh-CN"/>
        </w:rPr>
      </w:pPr>
    </w:p>
    <w:tbl>
      <w:tblPr>
        <w:tblStyle w:val="26"/>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124D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3FF576E5">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0105AD86">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77BD6907">
      <w:pPr>
        <w:rPr>
          <w:rFonts w:hint="eastAsia"/>
        </w:rPr>
      </w:pPr>
      <w:r>
        <w:rPr>
          <w:rFonts w:hint="eastAsia"/>
        </w:rPr>
        <w:br w:type="page"/>
      </w:r>
    </w:p>
    <w:p w14:paraId="6F8834FF">
      <w:pPr>
        <w:pStyle w:val="14"/>
        <w:rPr>
          <w:rFonts w:hint="eastAsia"/>
        </w:rPr>
        <w:sectPr>
          <w:pgSz w:w="11906" w:h="16838"/>
          <w:pgMar w:top="1440" w:right="1800" w:bottom="1440" w:left="1800" w:header="851" w:footer="992" w:gutter="0"/>
          <w:cols w:space="425" w:num="1"/>
          <w:docGrid w:type="lines" w:linePitch="312" w:charSpace="0"/>
        </w:sectPr>
      </w:pPr>
    </w:p>
    <w:p w14:paraId="3BAC4A66">
      <w:pPr>
        <w:pStyle w:val="3"/>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w:t>
      </w:r>
      <w:r>
        <w:rPr>
          <w:rFonts w:hint="eastAsia" w:ascii="仿宋" w:hAnsi="仿宋" w:eastAsia="仿宋" w:cs="仿宋"/>
          <w:b/>
          <w:bCs/>
          <w:kern w:val="2"/>
          <w:sz w:val="28"/>
          <w:szCs w:val="28"/>
          <w:lang w:val="en-US" w:eastAsia="zh-CN" w:bidi="ar-SA"/>
        </w:rPr>
        <w:br w:type="page"/>
      </w:r>
    </w:p>
    <w:p w14:paraId="6E9334F1">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6"/>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5"/>
        <w:gridCol w:w="1787"/>
        <w:gridCol w:w="45"/>
        <w:gridCol w:w="4008"/>
        <w:gridCol w:w="930"/>
        <w:gridCol w:w="1194"/>
        <w:gridCol w:w="797"/>
        <w:gridCol w:w="531"/>
        <w:gridCol w:w="1261"/>
        <w:gridCol w:w="1332"/>
        <w:gridCol w:w="1080"/>
      </w:tblGrid>
      <w:tr w14:paraId="6BD7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14:paraId="6A209D30">
            <w:pPr>
              <w:keepNext w:val="0"/>
              <w:keepLines w:val="0"/>
              <w:widowControl/>
              <w:suppressLineNumbers w:val="0"/>
              <w:ind w:firstLineChars="20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6B2C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DFF7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询价单位</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E92DD">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F7B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027D">
            <w:pPr>
              <w:keepNext w:val="0"/>
              <w:keepLines w:val="0"/>
              <w:widowControl/>
              <w:suppressLineNumbers w:val="0"/>
              <w:ind w:firstLineChars="20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 xml:space="preserve">         （盖章）</w:t>
            </w:r>
          </w:p>
        </w:tc>
      </w:tr>
      <w:tr w14:paraId="1ABF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2C78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联系人</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646C6">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8E0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7F0B">
            <w:pPr>
              <w:jc w:val="center"/>
              <w:rPr>
                <w:rFonts w:hint="eastAsia" w:ascii="宋体" w:hAnsi="宋体" w:eastAsia="宋体" w:cs="宋体"/>
                <w:i w:val="0"/>
                <w:iCs w:val="0"/>
                <w:color w:val="FF0000"/>
                <w:sz w:val="22"/>
                <w:szCs w:val="22"/>
                <w:u w:val="none"/>
              </w:rPr>
            </w:pPr>
          </w:p>
        </w:tc>
      </w:tr>
      <w:tr w14:paraId="5D58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B5B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电话</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03FFB">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D811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电话</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DB72">
            <w:pPr>
              <w:jc w:val="center"/>
              <w:rPr>
                <w:rFonts w:hint="eastAsia" w:ascii="宋体" w:hAnsi="宋体" w:eastAsia="宋体" w:cs="宋体"/>
                <w:i w:val="0"/>
                <w:iCs w:val="0"/>
                <w:color w:val="FF0000"/>
                <w:sz w:val="22"/>
                <w:szCs w:val="22"/>
                <w:u w:val="none"/>
              </w:rPr>
            </w:pPr>
          </w:p>
        </w:tc>
      </w:tr>
      <w:tr w14:paraId="651D9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6FC1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邮箱</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35EC7">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324E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邮箱</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7E1D">
            <w:pPr>
              <w:jc w:val="center"/>
              <w:rPr>
                <w:rFonts w:hint="eastAsia" w:ascii="宋体" w:hAnsi="宋体" w:eastAsia="宋体" w:cs="宋体"/>
                <w:i w:val="0"/>
                <w:iCs w:val="0"/>
                <w:color w:val="FF0000"/>
                <w:sz w:val="22"/>
                <w:szCs w:val="22"/>
                <w:u w:val="none"/>
              </w:rPr>
            </w:pPr>
          </w:p>
        </w:tc>
      </w:tr>
      <w:tr w14:paraId="7D84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62238">
            <w:pPr>
              <w:jc w:val="center"/>
              <w:rPr>
                <w:rFonts w:hint="eastAsia" w:ascii="宋体" w:hAnsi="宋体" w:eastAsia="宋体" w:cs="宋体"/>
                <w:i w:val="0"/>
                <w:iCs w:val="0"/>
                <w:color w:val="000000"/>
                <w:sz w:val="24"/>
                <w:szCs w:val="24"/>
                <w:u w:val="none"/>
              </w:rPr>
            </w:pP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09C7C">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6A39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报价日期</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F174">
            <w:pPr>
              <w:jc w:val="center"/>
              <w:rPr>
                <w:rFonts w:hint="eastAsia" w:ascii="宋体" w:hAnsi="宋体" w:eastAsia="宋体" w:cs="宋体"/>
                <w:i w:val="0"/>
                <w:iCs w:val="0"/>
                <w:color w:val="FF0000"/>
                <w:sz w:val="22"/>
                <w:szCs w:val="22"/>
                <w:u w:val="none"/>
              </w:rPr>
            </w:pPr>
          </w:p>
        </w:tc>
      </w:tr>
      <w:tr w14:paraId="485E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23AC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CDF1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9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05ED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43E8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999B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29B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67F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ED2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51739">
            <w:pPr>
              <w:jc w:val="center"/>
              <w:rPr>
                <w:rFonts w:hint="eastAsia" w:ascii="宋体" w:hAnsi="宋体" w:eastAsia="宋体" w:cs="宋体"/>
                <w:i w:val="0"/>
                <w:iCs w:val="0"/>
                <w:color w:val="000000"/>
                <w:sz w:val="24"/>
                <w:szCs w:val="24"/>
                <w:u w:val="none"/>
              </w:rPr>
            </w:pPr>
          </w:p>
        </w:tc>
        <w:tc>
          <w:tcPr>
            <w:tcW w:w="1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22F2">
            <w:pPr>
              <w:jc w:val="center"/>
              <w:rPr>
                <w:rFonts w:hint="eastAsia" w:ascii="宋体" w:hAnsi="宋体" w:eastAsia="宋体" w:cs="宋体"/>
                <w:i w:val="0"/>
                <w:iCs w:val="0"/>
                <w:color w:val="000000"/>
                <w:sz w:val="24"/>
                <w:szCs w:val="24"/>
                <w:u w:val="none"/>
              </w:rPr>
            </w:pPr>
          </w:p>
        </w:tc>
        <w:tc>
          <w:tcPr>
            <w:tcW w:w="49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1E70">
            <w:pPr>
              <w:jc w:val="center"/>
              <w:rPr>
                <w:rFonts w:hint="eastAsia" w:ascii="宋体" w:hAnsi="宋体" w:eastAsia="宋体" w:cs="宋体"/>
                <w:i w:val="0"/>
                <w:iCs w:val="0"/>
                <w:color w:val="000000"/>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966FB">
            <w:pPr>
              <w:jc w:val="center"/>
              <w:rPr>
                <w:rFonts w:hint="eastAsia" w:ascii="宋体" w:hAnsi="宋体" w:eastAsia="宋体" w:cs="宋体"/>
                <w:i w:val="0"/>
                <w:iCs w:val="0"/>
                <w:color w:val="000000"/>
                <w:sz w:val="24"/>
                <w:szCs w:val="24"/>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FACA0">
            <w:pPr>
              <w:jc w:val="center"/>
              <w:rPr>
                <w:rFonts w:hint="eastAsia" w:ascii="宋体" w:hAnsi="宋体" w:eastAsia="宋体" w:cs="宋体"/>
                <w:i w:val="0"/>
                <w:iCs w:val="0"/>
                <w:color w:val="000000"/>
                <w:sz w:val="24"/>
                <w:szCs w:val="24"/>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E3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E35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2C0AD">
            <w:pPr>
              <w:jc w:val="center"/>
              <w:rPr>
                <w:rFonts w:hint="eastAsia" w:ascii="宋体" w:hAnsi="宋体" w:eastAsia="宋体" w:cs="宋体"/>
                <w:i w:val="0"/>
                <w:iCs w:val="0"/>
                <w:color w:val="000000"/>
                <w:sz w:val="24"/>
                <w:szCs w:val="24"/>
                <w:u w:val="none"/>
              </w:rPr>
            </w:pPr>
          </w:p>
        </w:tc>
      </w:tr>
      <w:tr w14:paraId="48291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EAB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403">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铁塔高空资源及供电服务</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C56C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lang w:val="en-US" w:eastAsia="zh-CN"/>
              </w:rPr>
              <w:t>1.摄像头安装点位距离高铁轨道水平距离小于等于200米，垂直高度30至40米。</w:t>
            </w:r>
            <w:r>
              <w:rPr>
                <w:rFonts w:hint="eastAsia" w:ascii="宋体" w:hAnsi="宋体"/>
                <w:lang w:val="en-US" w:eastAsia="zh-CN"/>
              </w:rPr>
              <w:br w:type="textWrapping"/>
            </w:r>
            <w:r>
              <w:rPr>
                <w:rFonts w:hint="eastAsia" w:ascii="宋体" w:hAnsi="宋体"/>
                <w:lang w:val="en-US" w:eastAsia="zh-CN"/>
              </w:rPr>
              <w:t>2.能够提供铁塔资源产权或铁塔产权方授权使用证明文件。</w:t>
            </w:r>
            <w:r>
              <w:rPr>
                <w:rFonts w:hint="eastAsia" w:ascii="宋体" w:hAnsi="宋体"/>
                <w:lang w:val="en-US" w:eastAsia="zh-CN"/>
              </w:rPr>
              <w:br w:type="textWrapping"/>
            </w:r>
            <w:r>
              <w:rPr>
                <w:rFonts w:hint="eastAsia" w:ascii="宋体" w:hAnsi="宋体"/>
                <w:lang w:val="en-US" w:eastAsia="zh-CN"/>
              </w:rPr>
              <w:t>3.每季度维护巡查至少一次，7*24小时故障响应，市电停电3小时内油机发电保障。</w:t>
            </w:r>
            <w:r>
              <w:rPr>
                <w:rFonts w:hint="eastAsia" w:ascii="宋体" w:hAnsi="宋体"/>
                <w:lang w:val="en-US" w:eastAsia="zh-CN"/>
              </w:rPr>
              <w:br w:type="textWrapping"/>
            </w:r>
            <w:r>
              <w:rPr>
                <w:rFonts w:hint="eastAsia" w:ascii="宋体" w:hAnsi="宋体"/>
                <w:lang w:val="en-US" w:eastAsia="zh-CN"/>
              </w:rPr>
              <w:t>4.进行高空、焊接等危险作业需提供特种人员作业证件和承载评估方案。</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E6BB">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92BFD">
            <w:pPr>
              <w:keepNext w:val="0"/>
              <w:keepLines w:val="0"/>
              <w:widowControl/>
              <w:suppressLineNumbers w:val="0"/>
              <w:spacing w:line="240" w:lineRule="auto"/>
              <w:ind w:left="0" w:lef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94EC">
            <w:pPr>
              <w:rPr>
                <w:rFonts w:hint="eastAsia" w:ascii="宋体" w:hAnsi="宋体" w:eastAsia="宋体" w:cs="宋体"/>
                <w:i w:val="0"/>
                <w:iCs w:val="0"/>
                <w:color w:val="000000"/>
                <w:sz w:val="22"/>
                <w:szCs w:val="22"/>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12E9">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E12E">
            <w:pPr>
              <w:rPr>
                <w:rFonts w:hint="eastAsia" w:ascii="宋体" w:hAnsi="宋体" w:eastAsia="宋体" w:cs="宋体"/>
                <w:i w:val="0"/>
                <w:iCs w:val="0"/>
                <w:color w:val="000000"/>
                <w:sz w:val="22"/>
                <w:szCs w:val="22"/>
                <w:u w:val="none"/>
              </w:rPr>
            </w:pPr>
          </w:p>
        </w:tc>
      </w:tr>
      <w:tr w14:paraId="5E58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5D0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29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83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FF0000"/>
                <w:kern w:val="0"/>
                <w:sz w:val="24"/>
                <w:szCs w:val="24"/>
                <w:u w:val="none"/>
                <w:lang w:val="en-US" w:eastAsia="zh-CN" w:bidi="ar"/>
              </w:rPr>
              <w:t>元</w:t>
            </w:r>
          </w:p>
        </w:tc>
      </w:tr>
      <w:tr w14:paraId="22DF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47F4D9">
            <w:pPr>
              <w:keepNext w:val="0"/>
              <w:keepLines w:val="0"/>
              <w:widowControl/>
              <w:suppressLineNumbers w:val="0"/>
              <w:jc w:val="center"/>
              <w:textAlignment w:val="center"/>
              <w:rPr>
                <w:rFonts w:ascii="黑体" w:hAnsi="宋体" w:eastAsia="黑体" w:cs="黑体"/>
                <w:i w:val="0"/>
                <w:iCs w:val="0"/>
                <w:color w:val="FF0000"/>
                <w:sz w:val="24"/>
                <w:szCs w:val="24"/>
                <w:u w:val="none"/>
              </w:rPr>
            </w:pPr>
            <w:r>
              <w:rPr>
                <w:rFonts w:hint="eastAsia" w:ascii="黑体" w:hAnsi="宋体" w:eastAsia="黑体" w:cs="黑体"/>
                <w:i w:val="0"/>
                <w:iCs w:val="0"/>
                <w:color w:val="FF0000"/>
                <w:kern w:val="0"/>
                <w:sz w:val="24"/>
                <w:szCs w:val="24"/>
                <w:u w:val="none"/>
                <w:lang w:val="en-US" w:eastAsia="zh-CN" w:bidi="ar"/>
              </w:rPr>
              <w:t>注：以上报价含可抵扣的增值税专用发票、以及安装调试费相关服务费用。</w:t>
            </w:r>
          </w:p>
        </w:tc>
      </w:tr>
      <w:tr w14:paraId="2649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B289E">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是否接受保证金（控制价的2%）</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DEEF">
            <w:pPr>
              <w:jc w:val="center"/>
              <w:rPr>
                <w:rFonts w:hint="eastAsia" w:ascii="黑体" w:hAnsi="宋体" w:eastAsia="黑体" w:cs="黑体"/>
                <w:i w:val="0"/>
                <w:iCs w:val="0"/>
                <w:color w:val="FF0000"/>
                <w:sz w:val="24"/>
                <w:szCs w:val="24"/>
                <w:u w:val="none"/>
              </w:rPr>
            </w:pP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00D1B">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是否接受履约保证金（成交金额的10%）</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7101F4">
            <w:pPr>
              <w:jc w:val="center"/>
              <w:rPr>
                <w:rFonts w:hint="eastAsia" w:ascii="黑体" w:hAnsi="宋体" w:eastAsia="黑体" w:cs="黑体"/>
                <w:i w:val="0"/>
                <w:iCs w:val="0"/>
                <w:color w:val="FF0000"/>
                <w:sz w:val="24"/>
                <w:szCs w:val="24"/>
                <w:u w:val="none"/>
              </w:rPr>
            </w:pPr>
          </w:p>
        </w:tc>
      </w:tr>
      <w:tr w14:paraId="6057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5359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质保期：</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F28">
            <w:pPr>
              <w:jc w:val="center"/>
              <w:rPr>
                <w:rFonts w:hint="default" w:ascii="黑体" w:hAnsi="宋体" w:eastAsia="黑体" w:cs="黑体"/>
                <w:i w:val="0"/>
                <w:iCs w:val="0"/>
                <w:color w:val="FF0000"/>
                <w:sz w:val="24"/>
                <w:szCs w:val="24"/>
                <w:u w:val="none"/>
                <w:lang w:val="en-US" w:eastAsia="zh-CN"/>
              </w:rPr>
            </w:pPr>
            <w:r>
              <w:rPr>
                <w:rFonts w:hint="eastAsia" w:ascii="黑体" w:hAnsi="宋体" w:eastAsia="黑体" w:cs="黑体"/>
                <w:i w:val="0"/>
                <w:iCs w:val="0"/>
                <w:color w:val="FF0000"/>
                <w:sz w:val="24"/>
                <w:szCs w:val="24"/>
                <w:u w:val="none"/>
                <w:lang w:val="en-US" w:eastAsia="zh-CN"/>
              </w:rPr>
              <w:t>三年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EFB83">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报价有效期：</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B60497">
            <w:pPr>
              <w:jc w:val="center"/>
              <w:rPr>
                <w:rFonts w:hint="eastAsia" w:ascii="黑体" w:hAnsi="宋体" w:eastAsia="黑体" w:cs="黑体"/>
                <w:i w:val="0"/>
                <w:iCs w:val="0"/>
                <w:color w:val="FF0000"/>
                <w:sz w:val="24"/>
                <w:szCs w:val="24"/>
                <w:u w:val="none"/>
              </w:rPr>
            </w:pPr>
          </w:p>
        </w:tc>
      </w:tr>
      <w:tr w14:paraId="7C805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EB5C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服务期：</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3C54">
            <w:pPr>
              <w:jc w:val="center"/>
              <w:rPr>
                <w:rFonts w:hint="default" w:ascii="黑体" w:hAnsi="宋体" w:eastAsia="黑体" w:cs="黑体"/>
                <w:i w:val="0"/>
                <w:iCs w:val="0"/>
                <w:color w:val="FF0000"/>
                <w:sz w:val="24"/>
                <w:szCs w:val="24"/>
                <w:u w:val="none"/>
                <w:lang w:val="en-US" w:eastAsia="zh-CN"/>
              </w:rPr>
            </w:pPr>
            <w:r>
              <w:rPr>
                <w:rFonts w:hint="eastAsia" w:ascii="黑体" w:hAnsi="宋体" w:eastAsia="黑体" w:cs="黑体"/>
                <w:i w:val="0"/>
                <w:iCs w:val="0"/>
                <w:color w:val="FF0000"/>
                <w:sz w:val="24"/>
                <w:szCs w:val="24"/>
                <w:u w:val="none"/>
                <w:lang w:val="en-US" w:eastAsia="zh-CN"/>
              </w:rPr>
              <w:t>三年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FE46F">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付款方式</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034C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sz w:val="24"/>
                <w:szCs w:val="24"/>
                <w:u w:val="none"/>
              </w:rPr>
            </w:pPr>
            <w:r>
              <w:rPr>
                <w:rFonts w:hint="eastAsia" w:ascii="黑体" w:hAnsi="宋体" w:eastAsia="黑体" w:cs="黑体"/>
                <w:i w:val="0"/>
                <w:iCs w:val="0"/>
                <w:color w:val="FF0000"/>
                <w:sz w:val="24"/>
                <w:szCs w:val="24"/>
                <w:u w:val="none"/>
                <w:lang w:eastAsia="zh-CN"/>
              </w:rPr>
              <w:t>按年度付款</w:t>
            </w:r>
          </w:p>
        </w:tc>
      </w:tr>
    </w:tbl>
    <w:p w14:paraId="3E787743">
      <w:pPr>
        <w:pStyle w:val="14"/>
        <w:rPr>
          <w:rFonts w:hint="eastAsia"/>
        </w:rPr>
        <w:sectPr>
          <w:pgSz w:w="16838" w:h="11906" w:orient="landscape"/>
          <w:pgMar w:top="1800" w:right="1440" w:bottom="1800" w:left="1440" w:header="851" w:footer="992" w:gutter="0"/>
          <w:cols w:space="425" w:num="1"/>
          <w:docGrid w:type="lines" w:linePitch="312" w:charSpace="0"/>
        </w:sectPr>
      </w:pPr>
    </w:p>
    <w:p w14:paraId="01005010">
      <w:pPr>
        <w:pStyle w:val="18"/>
        <w:spacing w:before="240" w:line="400" w:lineRule="exact"/>
        <w:ind w:firstLine="643" w:firstLineChars="200"/>
        <w:jc w:val="center"/>
        <w:rPr>
          <w:rFonts w:hint="eastAsia" w:ascii="Calibri" w:hAnsi="Calibri" w:eastAsia="宋体" w:cs="Calibri"/>
          <w:b/>
          <w:bCs/>
          <w:kern w:val="2"/>
          <w:sz w:val="32"/>
          <w:szCs w:val="32"/>
          <w:highlight w:val="yellow"/>
          <w:lang w:val="en-US" w:eastAsia="zh-CN" w:bidi="ar-SA"/>
        </w:rPr>
      </w:pPr>
      <w:r>
        <w:rPr>
          <w:rFonts w:hint="eastAsia"/>
          <w:b/>
          <w:bCs/>
          <w:sz w:val="32"/>
          <w:szCs w:val="32"/>
        </w:rPr>
        <w:t>合同格式及条款</w:t>
      </w:r>
    </w:p>
    <w:p w14:paraId="6B1F8E11">
      <w:pPr>
        <w:spacing w:line="520" w:lineRule="exact"/>
        <w:rPr>
          <w:rFonts w:ascii="宋体" w:hAnsi="宋体"/>
          <w:sz w:val="24"/>
          <w:szCs w:val="24"/>
          <w:u w:val="single"/>
        </w:rPr>
      </w:pPr>
      <w:r>
        <w:rPr>
          <w:rFonts w:ascii="宋体" w:hAnsi="宋体"/>
          <w:sz w:val="24"/>
          <w:szCs w:val="24"/>
        </w:rPr>
        <w:t>甲  方：</w:t>
      </w:r>
      <w:r>
        <w:rPr>
          <w:rFonts w:ascii="宋体" w:hAnsi="宋体"/>
          <w:sz w:val="24"/>
          <w:szCs w:val="24"/>
          <w:u w:val="single"/>
        </w:rPr>
        <w:t xml:space="preserve">   </w:t>
      </w:r>
      <w:r>
        <w:rPr>
          <w:rFonts w:hint="eastAsia" w:ascii="宋体" w:hAnsi="宋体"/>
          <w:sz w:val="24"/>
          <w:szCs w:val="24"/>
          <w:u w:val="single"/>
        </w:rPr>
        <w:t>江苏省淮安市保安服务有限公司</w:t>
      </w:r>
      <w:r>
        <w:rPr>
          <w:rFonts w:ascii="宋体" w:hAnsi="宋体"/>
          <w:sz w:val="24"/>
          <w:szCs w:val="24"/>
          <w:u w:val="single"/>
        </w:rPr>
        <w:t xml:space="preserve">   </w:t>
      </w:r>
    </w:p>
    <w:p w14:paraId="745329CB">
      <w:pPr>
        <w:spacing w:line="520" w:lineRule="exact"/>
        <w:rPr>
          <w:rFonts w:hint="default" w:ascii="宋体" w:hAnsi="宋体" w:eastAsia="宋体"/>
          <w:sz w:val="24"/>
          <w:szCs w:val="24"/>
          <w:u w:val="single"/>
          <w:lang w:val="en-US" w:eastAsia="zh-CN"/>
        </w:rPr>
      </w:pPr>
      <w:r>
        <w:rPr>
          <w:rFonts w:ascii="宋体" w:hAnsi="宋体"/>
          <w:sz w:val="24"/>
          <w:szCs w:val="24"/>
        </w:rPr>
        <w:t>乙  方：</w:t>
      </w:r>
      <w:r>
        <w:rPr>
          <w:rFonts w:ascii="宋体" w:hAnsi="宋体"/>
          <w:sz w:val="24"/>
          <w:szCs w:val="24"/>
          <w:u w:val="single"/>
        </w:rPr>
        <w:t xml:space="preserve">   </w:t>
      </w:r>
      <w:r>
        <w:rPr>
          <w:rFonts w:hint="eastAsia" w:ascii="宋体" w:hAnsi="宋体"/>
          <w:sz w:val="24"/>
          <w:szCs w:val="24"/>
          <w:u w:val="single"/>
          <w:lang w:val="en-US" w:eastAsia="zh-CN"/>
        </w:rPr>
        <w:t xml:space="preserve">                               </w:t>
      </w:r>
    </w:p>
    <w:p w14:paraId="08144A62">
      <w:pPr>
        <w:pStyle w:val="18"/>
        <w:spacing w:line="520" w:lineRule="exact"/>
        <w:ind w:firstLine="480" w:firstLineChars="200"/>
        <w:rPr>
          <w:rFonts w:hAnsi="宋体"/>
          <w:sz w:val="24"/>
          <w:szCs w:val="24"/>
        </w:rPr>
      </w:pPr>
    </w:p>
    <w:p w14:paraId="7033DBA2">
      <w:pPr>
        <w:pStyle w:val="18"/>
        <w:spacing w:line="520" w:lineRule="exact"/>
        <w:ind w:firstLine="480" w:firstLineChars="200"/>
        <w:rPr>
          <w:rFonts w:hAnsi="宋体"/>
          <w:sz w:val="24"/>
          <w:szCs w:val="24"/>
        </w:rPr>
      </w:pPr>
      <w:r>
        <w:rPr>
          <w:rFonts w:hAnsi="宋体"/>
          <w:sz w:val="24"/>
          <w:szCs w:val="24"/>
        </w:rPr>
        <w:t>一、依据《中华人民共和国民法典》</w:t>
      </w:r>
      <w:r>
        <w:rPr>
          <w:rFonts w:hint="eastAsia" w:hAnsi="宋体"/>
          <w:sz w:val="24"/>
          <w:szCs w:val="24"/>
        </w:rPr>
        <w:t>等</w:t>
      </w:r>
      <w:r>
        <w:rPr>
          <w:rFonts w:hAnsi="宋体"/>
          <w:sz w:val="24"/>
          <w:szCs w:val="24"/>
        </w:rPr>
        <w:t>规定，经甲、乙双方友好协商，签订本合同。</w:t>
      </w:r>
    </w:p>
    <w:p w14:paraId="504355EE">
      <w:pPr>
        <w:pStyle w:val="18"/>
        <w:spacing w:line="520" w:lineRule="exact"/>
        <w:ind w:firstLine="480" w:firstLineChars="200"/>
        <w:rPr>
          <w:rFonts w:hAnsi="宋体"/>
          <w:sz w:val="24"/>
          <w:szCs w:val="24"/>
        </w:rPr>
      </w:pPr>
    </w:p>
    <w:p w14:paraId="53A920B6">
      <w:pPr>
        <w:pStyle w:val="18"/>
        <w:spacing w:line="520" w:lineRule="exact"/>
        <w:ind w:firstLine="480" w:firstLineChars="200"/>
        <w:rPr>
          <w:rFonts w:hint="eastAsia" w:hAnsi="宋体"/>
          <w:sz w:val="24"/>
          <w:szCs w:val="24"/>
        </w:rPr>
      </w:pPr>
      <w:r>
        <w:rPr>
          <w:rFonts w:hint="eastAsia" w:hAnsi="宋体"/>
          <w:sz w:val="24"/>
          <w:szCs w:val="24"/>
        </w:rPr>
        <w:t>二、服务内容</w:t>
      </w:r>
    </w:p>
    <w:p w14:paraId="51606016">
      <w:pPr>
        <w:pStyle w:val="18"/>
        <w:spacing w:line="520" w:lineRule="exact"/>
        <w:ind w:firstLine="480" w:firstLineChars="200"/>
        <w:rPr>
          <w:rFonts w:hAnsi="宋体"/>
          <w:sz w:val="24"/>
          <w:szCs w:val="24"/>
        </w:rPr>
      </w:pPr>
      <w:r>
        <w:rPr>
          <w:rFonts w:hint="eastAsia" w:hAnsi="宋体"/>
          <w:sz w:val="24"/>
          <w:szCs w:val="24"/>
        </w:rPr>
        <w:t>1、乙方为甲方提供用于公安高点监控的铁塔站址资源，安装位置位于</w:t>
      </w:r>
      <w:r>
        <w:rPr>
          <w:rFonts w:hint="eastAsia" w:hAnsi="宋体"/>
          <w:sz w:val="24"/>
          <w:szCs w:val="24"/>
          <w:u w:val="single"/>
          <w:lang w:val="en-US" w:eastAsia="zh-CN"/>
        </w:rPr>
        <w:t xml:space="preserve">    </w:t>
      </w:r>
      <w:r>
        <w:rPr>
          <w:rFonts w:hint="eastAsia" w:hAnsi="宋体"/>
          <w:sz w:val="24"/>
          <w:szCs w:val="24"/>
          <w:u w:val="single"/>
        </w:rPr>
        <w:t>3座基站</w:t>
      </w:r>
      <w:r>
        <w:rPr>
          <w:rFonts w:hint="eastAsia" w:hAnsi="宋体"/>
          <w:sz w:val="24"/>
          <w:szCs w:val="24"/>
          <w:u w:val="single"/>
          <w:lang w:val="en-US" w:eastAsia="zh-CN"/>
        </w:rPr>
        <w:t xml:space="preserve">   </w:t>
      </w:r>
      <w:r>
        <w:rPr>
          <w:rFonts w:hint="eastAsia" w:hAnsi="宋体"/>
          <w:sz w:val="24"/>
          <w:szCs w:val="24"/>
        </w:rPr>
        <w:t>铁塔，垂直高度30至40米。</w:t>
      </w:r>
    </w:p>
    <w:p w14:paraId="042B7E3D">
      <w:pPr>
        <w:pStyle w:val="18"/>
        <w:spacing w:line="520" w:lineRule="exact"/>
        <w:ind w:firstLine="480" w:firstLineChars="200"/>
        <w:rPr>
          <w:rFonts w:hint="eastAsia" w:hAnsi="宋体"/>
          <w:sz w:val="24"/>
          <w:szCs w:val="24"/>
        </w:rPr>
      </w:pPr>
      <w:r>
        <w:rPr>
          <w:rFonts w:hint="eastAsia" w:hAnsi="宋体"/>
          <w:sz w:val="24"/>
          <w:szCs w:val="24"/>
        </w:rPr>
        <w:t>2、乙方提供的铁塔站址距离</w:t>
      </w:r>
      <w:r>
        <w:rPr>
          <w:rFonts w:hint="eastAsia" w:hAnsi="宋体"/>
          <w:sz w:val="24"/>
          <w:szCs w:val="24"/>
          <w:u w:val="single"/>
          <w:lang w:val="en-US" w:eastAsia="zh-CN"/>
        </w:rPr>
        <w:t xml:space="preserve">          </w:t>
      </w:r>
      <w:r>
        <w:rPr>
          <w:rFonts w:hint="eastAsia" w:hAnsi="宋体"/>
          <w:sz w:val="24"/>
          <w:szCs w:val="24"/>
        </w:rPr>
        <w:t>水平距离小于等于200米，具体点位由双方技术人员确定或调整。</w:t>
      </w:r>
    </w:p>
    <w:p w14:paraId="57DBBFEE">
      <w:pPr>
        <w:pStyle w:val="18"/>
        <w:spacing w:line="520" w:lineRule="exact"/>
        <w:ind w:firstLine="480" w:firstLineChars="200"/>
        <w:rPr>
          <w:rFonts w:hint="eastAsia" w:hAnsi="宋体"/>
          <w:sz w:val="24"/>
          <w:szCs w:val="24"/>
        </w:rPr>
      </w:pPr>
      <w:r>
        <w:rPr>
          <w:rFonts w:hint="eastAsia" w:hAnsi="宋体"/>
          <w:sz w:val="24"/>
          <w:szCs w:val="24"/>
        </w:rPr>
        <w:t>3、乙方每季度维护巡查至少一次，对于铁塔、电力供应提供7*24小时故障响应，市电停电3小时内油机发电保障。</w:t>
      </w:r>
    </w:p>
    <w:p w14:paraId="042675DB">
      <w:pPr>
        <w:pStyle w:val="18"/>
        <w:spacing w:line="520" w:lineRule="exact"/>
        <w:ind w:firstLine="480" w:firstLineChars="200"/>
        <w:rPr>
          <w:rFonts w:hint="eastAsia" w:hAnsi="宋体"/>
          <w:sz w:val="24"/>
          <w:szCs w:val="24"/>
        </w:rPr>
      </w:pPr>
      <w:r>
        <w:rPr>
          <w:rFonts w:hint="eastAsia" w:hAnsi="宋体"/>
          <w:sz w:val="24"/>
          <w:szCs w:val="24"/>
        </w:rPr>
        <w:t>4.乙方每个站点参照</w:t>
      </w:r>
      <w:r>
        <w:rPr>
          <w:rFonts w:hint="eastAsia" w:hAnsi="宋体"/>
          <w:sz w:val="24"/>
          <w:szCs w:val="24"/>
          <w:u w:val="single"/>
          <w:lang w:val="en-US" w:eastAsia="zh-CN"/>
        </w:rPr>
        <w:t xml:space="preserve">         </w:t>
      </w:r>
      <w:r>
        <w:rPr>
          <w:rFonts w:hint="eastAsia" w:hAnsi="宋体"/>
          <w:sz w:val="24"/>
          <w:szCs w:val="24"/>
        </w:rPr>
        <w:t>工程要求实施，进行高空、焊接等危险作业需提供特种人员作业证件和承载评估方案。</w:t>
      </w:r>
    </w:p>
    <w:p w14:paraId="2C3391A0">
      <w:pPr>
        <w:pStyle w:val="18"/>
        <w:spacing w:line="520" w:lineRule="exact"/>
        <w:ind w:firstLine="480" w:firstLineChars="200"/>
        <w:rPr>
          <w:rFonts w:hint="eastAsia" w:hAnsi="宋体"/>
          <w:sz w:val="24"/>
          <w:szCs w:val="24"/>
        </w:rPr>
      </w:pPr>
      <w:r>
        <w:rPr>
          <w:rFonts w:hint="eastAsia" w:hAnsi="宋体"/>
          <w:sz w:val="24"/>
          <w:szCs w:val="24"/>
        </w:rPr>
        <w:t>5、乙方提供的站址符合国家相关法律法规，无任何经济纠纷。</w:t>
      </w:r>
    </w:p>
    <w:p w14:paraId="1FAB519B">
      <w:pPr>
        <w:pStyle w:val="18"/>
        <w:spacing w:line="520" w:lineRule="exact"/>
        <w:ind w:firstLine="480" w:firstLineChars="200"/>
        <w:rPr>
          <w:rFonts w:hint="eastAsia" w:hAnsi="宋体"/>
          <w:sz w:val="24"/>
          <w:szCs w:val="24"/>
        </w:rPr>
      </w:pPr>
      <w:r>
        <w:rPr>
          <w:rFonts w:hint="eastAsia" w:hAnsi="宋体"/>
          <w:sz w:val="24"/>
          <w:szCs w:val="24"/>
        </w:rPr>
        <w:t>6、乙方随时能配合甲方对基站进行检查维护。</w:t>
      </w:r>
    </w:p>
    <w:p w14:paraId="0EF525DD">
      <w:pPr>
        <w:pStyle w:val="18"/>
        <w:spacing w:line="520" w:lineRule="exact"/>
        <w:ind w:firstLine="480" w:firstLineChars="200"/>
        <w:rPr>
          <w:rFonts w:hAnsi="宋体"/>
          <w:sz w:val="24"/>
          <w:szCs w:val="24"/>
        </w:rPr>
      </w:pPr>
      <w:r>
        <w:rPr>
          <w:rFonts w:hint="eastAsia" w:hAnsi="宋体"/>
          <w:sz w:val="24"/>
          <w:szCs w:val="24"/>
        </w:rPr>
        <w:t>7、甲方负责自行采购监控设备的质量和维保，维护中发现铁塔及市电安全隐患及时告知乙方进行整改或维修。</w:t>
      </w:r>
    </w:p>
    <w:p w14:paraId="2DA22F1C">
      <w:pPr>
        <w:pStyle w:val="18"/>
        <w:spacing w:line="520" w:lineRule="exact"/>
        <w:ind w:firstLine="480" w:firstLineChars="200"/>
        <w:rPr>
          <w:rFonts w:hAnsi="宋体"/>
          <w:sz w:val="24"/>
          <w:szCs w:val="24"/>
        </w:rPr>
      </w:pPr>
    </w:p>
    <w:p w14:paraId="7C1C8A7A">
      <w:pPr>
        <w:pStyle w:val="18"/>
        <w:spacing w:line="520" w:lineRule="exact"/>
        <w:ind w:firstLine="480" w:firstLineChars="200"/>
        <w:rPr>
          <w:rFonts w:hAnsi="宋体"/>
          <w:sz w:val="24"/>
          <w:szCs w:val="24"/>
        </w:rPr>
      </w:pPr>
      <w:r>
        <w:rPr>
          <w:rFonts w:hint="eastAsia" w:hAnsi="宋体"/>
          <w:sz w:val="24"/>
          <w:szCs w:val="24"/>
        </w:rPr>
        <w:t>三</w:t>
      </w:r>
      <w:r>
        <w:rPr>
          <w:rFonts w:hAnsi="宋体"/>
          <w:sz w:val="24"/>
          <w:szCs w:val="24"/>
        </w:rPr>
        <w:t>、合同金额</w:t>
      </w:r>
      <w:r>
        <w:rPr>
          <w:rFonts w:hint="eastAsia" w:hAnsi="宋体"/>
          <w:sz w:val="24"/>
          <w:szCs w:val="24"/>
        </w:rPr>
        <w:t>及期限</w:t>
      </w:r>
    </w:p>
    <w:p w14:paraId="3C25C8F4">
      <w:pPr>
        <w:pStyle w:val="18"/>
        <w:spacing w:line="520" w:lineRule="exact"/>
        <w:ind w:firstLine="480" w:firstLineChars="200"/>
        <w:rPr>
          <w:rFonts w:hint="eastAsia" w:hAnsi="宋体"/>
          <w:sz w:val="24"/>
          <w:szCs w:val="24"/>
        </w:rPr>
      </w:pPr>
      <w:r>
        <w:rPr>
          <w:rFonts w:hint="eastAsia" w:hAnsi="宋体"/>
          <w:sz w:val="24"/>
          <w:szCs w:val="24"/>
        </w:rPr>
        <w:t>高空站址资源综合服务单价为</w:t>
      </w:r>
      <w:r>
        <w:rPr>
          <w:rFonts w:hint="eastAsia" w:hAnsi="宋体"/>
          <w:sz w:val="24"/>
          <w:szCs w:val="24"/>
          <w:u w:val="single"/>
          <w:lang w:val="en-US" w:eastAsia="zh-CN"/>
        </w:rPr>
        <w:t xml:space="preserve">      </w:t>
      </w:r>
      <w:r>
        <w:rPr>
          <w:rFonts w:hint="eastAsia" w:hAnsi="宋体"/>
          <w:sz w:val="24"/>
          <w:szCs w:val="24"/>
        </w:rPr>
        <w:t>万元/站/年，合计</w:t>
      </w:r>
      <w:r>
        <w:rPr>
          <w:rFonts w:hAnsi="宋体"/>
          <w:sz w:val="24"/>
          <w:szCs w:val="24"/>
        </w:rPr>
        <w:t>（大写）</w:t>
      </w:r>
      <w:r>
        <w:rPr>
          <w:rFonts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万元</w:t>
      </w:r>
      <w:r>
        <w:rPr>
          <w:rFonts w:hAnsi="宋体"/>
          <w:sz w:val="24"/>
          <w:szCs w:val="24"/>
        </w:rPr>
        <w:t>；（小写） ¥</w:t>
      </w:r>
      <w:r>
        <w:rPr>
          <w:rFonts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元</w:t>
      </w:r>
      <w:r>
        <w:rPr>
          <w:rFonts w:hAnsi="宋体"/>
          <w:sz w:val="24"/>
          <w:szCs w:val="24"/>
          <w:u w:val="single"/>
        </w:rPr>
        <w:t xml:space="preserve"> </w:t>
      </w:r>
      <w:r>
        <w:rPr>
          <w:rFonts w:hAnsi="宋体"/>
          <w:sz w:val="24"/>
          <w:szCs w:val="24"/>
        </w:rPr>
        <w:t xml:space="preserve"> </w:t>
      </w:r>
      <w:r>
        <w:rPr>
          <w:rFonts w:hint="eastAsia" w:hAnsi="宋体"/>
          <w:sz w:val="24"/>
          <w:szCs w:val="24"/>
        </w:rPr>
        <w:t>增值税税率</w:t>
      </w:r>
      <w:r>
        <w:rPr>
          <w:rFonts w:hint="eastAsia" w:hAnsi="宋体"/>
          <w:sz w:val="24"/>
          <w:szCs w:val="24"/>
          <w:u w:val="single"/>
          <w:lang w:val="en-US" w:eastAsia="zh-CN"/>
        </w:rPr>
        <w:t xml:space="preserve">    </w:t>
      </w:r>
      <w:r>
        <w:rPr>
          <w:rFonts w:hint="eastAsia" w:hAnsi="宋体"/>
          <w:sz w:val="24"/>
          <w:szCs w:val="24"/>
          <w:u w:val="single"/>
        </w:rPr>
        <w:t>%</w:t>
      </w:r>
      <w:r>
        <w:rPr>
          <w:rFonts w:hint="eastAsia" w:hAnsi="宋体"/>
          <w:sz w:val="24"/>
          <w:szCs w:val="24"/>
        </w:rPr>
        <w:t>，不含税金额为：</w:t>
      </w:r>
      <w:r>
        <w:rPr>
          <w:rFonts w:hint="eastAsia" w:hAnsi="宋体"/>
          <w:sz w:val="24"/>
          <w:szCs w:val="24"/>
          <w:u w:val="single"/>
          <w:lang w:val="en-US" w:eastAsia="zh-CN"/>
        </w:rPr>
        <w:t xml:space="preserve">      </w:t>
      </w:r>
      <w:r>
        <w:rPr>
          <w:rFonts w:hint="eastAsia" w:hAnsi="宋体"/>
          <w:sz w:val="24"/>
          <w:szCs w:val="24"/>
          <w:u w:val="single"/>
        </w:rPr>
        <w:t>元</w:t>
      </w:r>
      <w:r>
        <w:rPr>
          <w:rFonts w:hAnsi="宋体"/>
          <w:sz w:val="24"/>
          <w:szCs w:val="24"/>
        </w:rPr>
        <w:t>。</w:t>
      </w:r>
      <w:r>
        <w:rPr>
          <w:rFonts w:hint="eastAsia" w:hAnsi="宋体" w:cs="仿宋"/>
          <w:sz w:val="24"/>
          <w:szCs w:val="24"/>
        </w:rPr>
        <w:t>合同签订之日起三年，服</w:t>
      </w:r>
      <w:r>
        <w:rPr>
          <w:rFonts w:hAnsi="宋体" w:cs="仿宋"/>
          <w:sz w:val="24"/>
          <w:szCs w:val="24"/>
        </w:rPr>
        <w:t>务期满后，经</w:t>
      </w:r>
      <w:r>
        <w:rPr>
          <w:rFonts w:hint="eastAsia" w:hAnsi="宋体" w:cs="仿宋"/>
          <w:sz w:val="24"/>
          <w:szCs w:val="24"/>
        </w:rPr>
        <w:t>双方</w:t>
      </w:r>
      <w:r>
        <w:rPr>
          <w:rFonts w:hAnsi="宋体" w:cs="仿宋"/>
          <w:sz w:val="24"/>
          <w:szCs w:val="24"/>
        </w:rPr>
        <w:t>同意</w:t>
      </w:r>
      <w:r>
        <w:rPr>
          <w:rFonts w:hint="eastAsia" w:hAnsi="宋体" w:cs="仿宋"/>
          <w:sz w:val="24"/>
          <w:szCs w:val="24"/>
        </w:rPr>
        <w:t>可以</w:t>
      </w:r>
      <w:r>
        <w:rPr>
          <w:rFonts w:hAnsi="宋体" w:cs="仿宋"/>
          <w:sz w:val="24"/>
          <w:szCs w:val="24"/>
        </w:rPr>
        <w:t>续签</w:t>
      </w:r>
      <w:r>
        <w:rPr>
          <w:rFonts w:hint="eastAsia" w:hAnsi="宋体" w:cs="仿宋"/>
          <w:sz w:val="24"/>
          <w:szCs w:val="24"/>
        </w:rPr>
        <w:t>。</w:t>
      </w:r>
    </w:p>
    <w:p w14:paraId="3647A148">
      <w:pPr>
        <w:snapToGrid w:val="0"/>
        <w:spacing w:line="520" w:lineRule="exact"/>
        <w:ind w:firstLine="480" w:firstLineChars="200"/>
        <w:rPr>
          <w:rFonts w:ascii="宋体" w:hAnsi="宋体"/>
          <w:sz w:val="24"/>
          <w:szCs w:val="24"/>
        </w:rPr>
      </w:pPr>
    </w:p>
    <w:p w14:paraId="407D25D3">
      <w:pPr>
        <w:snapToGrid w:val="0"/>
        <w:spacing w:line="520" w:lineRule="exact"/>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、付款条件</w:t>
      </w:r>
    </w:p>
    <w:p w14:paraId="57F53AF5">
      <w:pPr>
        <w:tabs>
          <w:tab w:val="left" w:pos="840"/>
          <w:tab w:val="left" w:pos="1260"/>
        </w:tabs>
        <w:adjustRightInd w:val="0"/>
        <w:spacing w:line="520" w:lineRule="exact"/>
        <w:ind w:firstLine="480" w:firstLineChars="200"/>
        <w:rPr>
          <w:rFonts w:ascii="宋体" w:hAnsi="宋体"/>
          <w:sz w:val="24"/>
          <w:szCs w:val="24"/>
        </w:rPr>
      </w:pPr>
      <w:r>
        <w:rPr>
          <w:rFonts w:ascii="宋体" w:hAnsi="宋体"/>
          <w:sz w:val="24"/>
          <w:szCs w:val="24"/>
        </w:rPr>
        <w:t>合同签订后</w:t>
      </w:r>
      <w:r>
        <w:rPr>
          <w:rFonts w:hint="eastAsia" w:ascii="宋体" w:hAnsi="宋体"/>
          <w:sz w:val="24"/>
          <w:szCs w:val="24"/>
        </w:rPr>
        <w:t>30日内甲方向乙方支</w:t>
      </w:r>
      <w:r>
        <w:rPr>
          <w:rFonts w:ascii="宋体" w:hAnsi="宋体"/>
          <w:sz w:val="24"/>
          <w:szCs w:val="24"/>
        </w:rPr>
        <w:t>付</w:t>
      </w:r>
      <w:r>
        <w:rPr>
          <w:rFonts w:hint="eastAsia" w:ascii="宋体" w:hAnsi="宋体"/>
          <w:sz w:val="24"/>
          <w:szCs w:val="24"/>
        </w:rPr>
        <w:t>第一年费用</w:t>
      </w:r>
      <w:r>
        <w:rPr>
          <w:rFonts w:hint="eastAsia" w:ascii="宋体" w:hAnsi="宋体"/>
          <w:sz w:val="24"/>
          <w:szCs w:val="24"/>
          <w:u w:val="single"/>
          <w:lang w:val="en-US" w:eastAsia="zh-CN"/>
        </w:rPr>
        <w:t xml:space="preserve">      </w:t>
      </w:r>
      <w:r>
        <w:rPr>
          <w:rFonts w:hint="eastAsia" w:ascii="宋体" w:hAnsi="宋体"/>
          <w:sz w:val="24"/>
          <w:szCs w:val="24"/>
        </w:rPr>
        <w:t>万元，后续每年服务费</w:t>
      </w:r>
      <w:r>
        <w:rPr>
          <w:rFonts w:hint="eastAsia" w:ascii="宋体" w:hAnsi="宋体"/>
          <w:sz w:val="24"/>
          <w:szCs w:val="24"/>
          <w:u w:val="single"/>
          <w:lang w:val="en-US" w:eastAsia="zh-CN"/>
        </w:rPr>
        <w:t xml:space="preserve">  </w:t>
      </w:r>
      <w:r>
        <w:rPr>
          <w:rFonts w:hint="eastAsia" w:ascii="宋体" w:hAnsi="宋体"/>
          <w:sz w:val="24"/>
          <w:szCs w:val="24"/>
          <w:u w:val="single"/>
          <w:lang w:val="en-US" w:eastAsia="zh-CN"/>
        </w:rPr>
        <w:t xml:space="preserve">   </w:t>
      </w:r>
      <w:r>
        <w:rPr>
          <w:rFonts w:hint="eastAsia" w:ascii="宋体" w:hAnsi="宋体"/>
          <w:sz w:val="24"/>
          <w:szCs w:val="24"/>
        </w:rPr>
        <w:t>万元于当年</w:t>
      </w:r>
      <w:r>
        <w:rPr>
          <w:rFonts w:hint="eastAsia" w:ascii="宋体" w:hAnsi="宋体"/>
          <w:sz w:val="24"/>
          <w:szCs w:val="24"/>
          <w:u w:val="single"/>
          <w:lang w:val="en-US" w:eastAsia="zh-CN"/>
        </w:rPr>
        <w:t xml:space="preserve">    </w:t>
      </w:r>
      <w:r>
        <w:rPr>
          <w:rFonts w:hint="eastAsia" w:ascii="宋体" w:hAnsi="宋体"/>
          <w:sz w:val="24"/>
          <w:szCs w:val="24"/>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日之前结算。</w:t>
      </w:r>
    </w:p>
    <w:p w14:paraId="7F55F812">
      <w:pPr>
        <w:tabs>
          <w:tab w:val="left" w:pos="840"/>
          <w:tab w:val="left" w:pos="1260"/>
        </w:tabs>
        <w:adjustRightInd w:val="0"/>
        <w:spacing w:line="520" w:lineRule="exact"/>
        <w:ind w:firstLine="480" w:firstLineChars="200"/>
        <w:rPr>
          <w:rFonts w:hint="eastAsia" w:ascii="宋体" w:hAnsi="宋体"/>
          <w:sz w:val="24"/>
          <w:szCs w:val="24"/>
        </w:rPr>
      </w:pPr>
      <w:r>
        <w:rPr>
          <w:rFonts w:hint="eastAsia" w:ascii="宋体" w:hAnsi="宋体"/>
          <w:sz w:val="24"/>
          <w:szCs w:val="24"/>
        </w:rPr>
        <w:t>乙方的银行信息如下：</w:t>
      </w:r>
    </w:p>
    <w:p w14:paraId="01C81C3B">
      <w:pPr>
        <w:tabs>
          <w:tab w:val="left" w:pos="840"/>
          <w:tab w:val="left" w:pos="1260"/>
        </w:tabs>
        <w:adjustRightInd w:val="0"/>
        <w:spacing w:line="520" w:lineRule="exact"/>
        <w:ind w:firstLine="480" w:firstLineChars="200"/>
        <w:rPr>
          <w:rFonts w:hint="eastAsia" w:ascii="宋体" w:hAnsi="宋体" w:eastAsia="宋体"/>
          <w:sz w:val="24"/>
          <w:szCs w:val="24"/>
          <w:lang w:eastAsia="zh-CN"/>
        </w:rPr>
      </w:pPr>
      <w:r>
        <w:rPr>
          <w:rFonts w:hint="eastAsia" w:ascii="宋体" w:hAnsi="宋体"/>
          <w:sz w:val="24"/>
          <w:szCs w:val="24"/>
        </w:rPr>
        <w:t>名称：</w:t>
      </w:r>
      <w:r>
        <w:rPr>
          <w:rFonts w:hint="eastAsia" w:ascii="宋体" w:hAnsi="宋体"/>
          <w:sz w:val="24"/>
          <w:szCs w:val="24"/>
          <w:lang w:val="en-US" w:eastAsia="zh-CN"/>
        </w:rPr>
        <w:t xml:space="preserve"> </w:t>
      </w:r>
    </w:p>
    <w:p w14:paraId="4307246E">
      <w:pPr>
        <w:tabs>
          <w:tab w:val="left" w:pos="840"/>
          <w:tab w:val="left" w:pos="1260"/>
        </w:tabs>
        <w:adjustRightInd w:val="0"/>
        <w:spacing w:line="520" w:lineRule="exact"/>
        <w:ind w:firstLine="480" w:firstLineChars="200"/>
        <w:rPr>
          <w:rFonts w:hint="eastAsia" w:ascii="宋体" w:hAnsi="宋体" w:eastAsia="宋体"/>
          <w:sz w:val="24"/>
          <w:szCs w:val="24"/>
          <w:lang w:eastAsia="zh-CN"/>
        </w:rPr>
      </w:pPr>
      <w:r>
        <w:rPr>
          <w:rFonts w:hint="eastAsia" w:ascii="宋体" w:hAnsi="宋体"/>
          <w:sz w:val="24"/>
          <w:szCs w:val="24"/>
        </w:rPr>
        <w:t>收入账户：</w:t>
      </w:r>
      <w:r>
        <w:rPr>
          <w:rFonts w:hint="eastAsia" w:ascii="宋体" w:hAnsi="宋体"/>
          <w:sz w:val="24"/>
          <w:szCs w:val="24"/>
          <w:lang w:val="en-US" w:eastAsia="zh-CN"/>
        </w:rPr>
        <w:t xml:space="preserve"> </w:t>
      </w:r>
    </w:p>
    <w:p w14:paraId="48654D9B">
      <w:pPr>
        <w:tabs>
          <w:tab w:val="left" w:pos="840"/>
          <w:tab w:val="left" w:pos="1260"/>
        </w:tabs>
        <w:adjustRightInd w:val="0"/>
        <w:spacing w:line="520" w:lineRule="exact"/>
        <w:ind w:firstLine="480" w:firstLineChars="200"/>
        <w:rPr>
          <w:rFonts w:hint="eastAsia" w:ascii="宋体" w:hAnsi="宋体" w:eastAsia="宋体"/>
          <w:sz w:val="24"/>
          <w:szCs w:val="24"/>
          <w:lang w:eastAsia="zh-CN"/>
        </w:rPr>
      </w:pPr>
      <w:r>
        <w:rPr>
          <w:rFonts w:hint="eastAsia" w:ascii="宋体" w:hAnsi="宋体"/>
          <w:sz w:val="24"/>
          <w:szCs w:val="24"/>
        </w:rPr>
        <w:t>开户行：</w:t>
      </w:r>
      <w:r>
        <w:rPr>
          <w:rFonts w:hint="eastAsia" w:ascii="宋体" w:hAnsi="宋体"/>
          <w:sz w:val="24"/>
          <w:szCs w:val="24"/>
          <w:lang w:val="en-US" w:eastAsia="zh-CN"/>
        </w:rPr>
        <w:t xml:space="preserve"> </w:t>
      </w:r>
    </w:p>
    <w:p w14:paraId="517102DE">
      <w:pPr>
        <w:spacing w:line="520" w:lineRule="exact"/>
        <w:ind w:firstLine="480" w:firstLineChars="200"/>
        <w:outlineLvl w:val="0"/>
        <w:rPr>
          <w:rFonts w:ascii="宋体" w:hAnsi="宋体"/>
          <w:sz w:val="24"/>
          <w:szCs w:val="24"/>
        </w:rPr>
      </w:pPr>
    </w:p>
    <w:p w14:paraId="4D63B24F">
      <w:pPr>
        <w:spacing w:line="520" w:lineRule="exact"/>
        <w:ind w:firstLine="480" w:firstLineChars="200"/>
        <w:outlineLvl w:val="0"/>
        <w:rPr>
          <w:rFonts w:ascii="宋体" w:hAnsi="宋体"/>
          <w:sz w:val="24"/>
          <w:szCs w:val="24"/>
        </w:rPr>
      </w:pPr>
      <w:r>
        <w:rPr>
          <w:rFonts w:hint="eastAsia" w:ascii="宋体" w:hAnsi="宋体"/>
          <w:sz w:val="24"/>
          <w:szCs w:val="24"/>
        </w:rPr>
        <w:t>五</w:t>
      </w:r>
      <w:r>
        <w:rPr>
          <w:rFonts w:ascii="宋体" w:hAnsi="宋体"/>
          <w:sz w:val="24"/>
          <w:szCs w:val="24"/>
        </w:rPr>
        <w:t>、合同一般条款</w:t>
      </w:r>
    </w:p>
    <w:p w14:paraId="18E93BD5">
      <w:pPr>
        <w:spacing w:line="520" w:lineRule="exact"/>
        <w:ind w:firstLine="470" w:firstLineChars="196"/>
        <w:outlineLvl w:val="0"/>
        <w:rPr>
          <w:rFonts w:ascii="宋体" w:hAnsi="宋体"/>
          <w:sz w:val="24"/>
          <w:szCs w:val="24"/>
        </w:rPr>
      </w:pPr>
      <w:r>
        <w:rPr>
          <w:rFonts w:ascii="宋体" w:hAnsi="宋体"/>
          <w:sz w:val="24"/>
          <w:szCs w:val="24"/>
        </w:rPr>
        <w:t>1、定义</w:t>
      </w:r>
    </w:p>
    <w:p w14:paraId="15AABDFC">
      <w:pPr>
        <w:spacing w:line="520" w:lineRule="exact"/>
        <w:ind w:firstLine="660"/>
        <w:rPr>
          <w:rFonts w:ascii="宋体" w:hAnsi="宋体"/>
          <w:sz w:val="24"/>
          <w:szCs w:val="24"/>
        </w:rPr>
      </w:pPr>
      <w:r>
        <w:rPr>
          <w:rFonts w:ascii="宋体" w:hAnsi="宋体"/>
          <w:sz w:val="24"/>
          <w:szCs w:val="24"/>
        </w:rPr>
        <w:t>本合同中的下列术语应解释为：</w:t>
      </w:r>
    </w:p>
    <w:p w14:paraId="588FA4E3">
      <w:pPr>
        <w:tabs>
          <w:tab w:val="left" w:pos="840"/>
          <w:tab w:val="left" w:pos="1260"/>
        </w:tabs>
        <w:adjustRightInd w:val="0"/>
        <w:spacing w:line="520" w:lineRule="exact"/>
        <w:ind w:firstLine="480" w:firstLineChars="200"/>
        <w:rPr>
          <w:rFonts w:ascii="宋体" w:hAnsi="宋体"/>
          <w:sz w:val="24"/>
          <w:szCs w:val="24"/>
        </w:rPr>
      </w:pPr>
      <w:r>
        <w:rPr>
          <w:rFonts w:ascii="宋体" w:hAnsi="宋体"/>
          <w:sz w:val="24"/>
          <w:szCs w:val="24"/>
        </w:rPr>
        <w:t>1.1 “合同”系指甲乙双方签署的、合同格式中载明的甲方与乙方所达成的协议，包括所有的附件、附录和构成合同的所有文件。投标文件、项目建设方案，中标通知书，乙方在投标、评标过程中所作其它有关承诺、声明、书面澄清，保密协议、廉政合同书等均为合同不可分割的部分，与主合同具有同等法律效力。</w:t>
      </w:r>
    </w:p>
    <w:p w14:paraId="4A6415E9">
      <w:pPr>
        <w:spacing w:line="520" w:lineRule="exact"/>
        <w:ind w:firstLine="480" w:firstLineChars="200"/>
        <w:rPr>
          <w:rFonts w:ascii="宋体" w:hAnsi="宋体"/>
          <w:sz w:val="24"/>
          <w:szCs w:val="24"/>
        </w:rPr>
      </w:pPr>
      <w:r>
        <w:rPr>
          <w:rFonts w:ascii="宋体" w:hAnsi="宋体"/>
          <w:sz w:val="24"/>
          <w:szCs w:val="24"/>
        </w:rPr>
        <w:t>1.2 “合同价”系指根据合同约定，乙方在正确地完全履行合同义务后甲方应支付给乙方的价格。</w:t>
      </w:r>
    </w:p>
    <w:p w14:paraId="3D424A0F">
      <w:pPr>
        <w:spacing w:line="520" w:lineRule="exact"/>
        <w:ind w:firstLine="480" w:firstLineChars="200"/>
        <w:rPr>
          <w:rFonts w:ascii="宋体" w:hAnsi="宋体"/>
          <w:sz w:val="24"/>
          <w:szCs w:val="24"/>
        </w:rPr>
      </w:pPr>
      <w:r>
        <w:rPr>
          <w:rFonts w:ascii="宋体" w:hAnsi="宋体"/>
          <w:sz w:val="24"/>
          <w:szCs w:val="24"/>
        </w:rPr>
        <w:t>1.3 “审定价”系指经甲方或相关审计部门对乙方履行合同情况进行审计后认定应支付给乙方的价款。</w:t>
      </w:r>
    </w:p>
    <w:p w14:paraId="6C0A54B5">
      <w:pPr>
        <w:spacing w:line="520" w:lineRule="exact"/>
        <w:ind w:firstLine="480" w:firstLineChars="200"/>
        <w:rPr>
          <w:rFonts w:ascii="宋体" w:hAnsi="宋体"/>
          <w:sz w:val="24"/>
          <w:szCs w:val="24"/>
        </w:rPr>
      </w:pPr>
      <w:r>
        <w:rPr>
          <w:rFonts w:ascii="宋体" w:hAnsi="宋体"/>
          <w:sz w:val="24"/>
          <w:szCs w:val="24"/>
        </w:rPr>
        <w:t>1.4 “货物”系指乙方根据合同约定须向甲方提供的一切设备、机械、仪表、备件、工具、技术资料和软件系统等。</w:t>
      </w:r>
    </w:p>
    <w:p w14:paraId="28ED6A29">
      <w:pPr>
        <w:spacing w:line="520" w:lineRule="exact"/>
        <w:ind w:firstLine="480" w:firstLineChars="200"/>
        <w:outlineLvl w:val="0"/>
        <w:rPr>
          <w:rFonts w:ascii="宋体" w:hAnsi="宋体"/>
          <w:b/>
          <w:sz w:val="24"/>
          <w:szCs w:val="24"/>
        </w:rPr>
      </w:pPr>
      <w:r>
        <w:rPr>
          <w:rFonts w:ascii="宋体" w:hAnsi="宋体"/>
          <w:sz w:val="24"/>
          <w:szCs w:val="24"/>
        </w:rPr>
        <w:t>1.5 “服务”系指根据合同约定的乙方应承担与合同标的物有关的辅助服务，如运输、运输过程中保险以及其它的伴随服务，比如部署、调试、提供技术援助、培训和其他类似的乙方应承担的义务。</w:t>
      </w:r>
    </w:p>
    <w:p w14:paraId="4EF4AC72">
      <w:pPr>
        <w:spacing w:line="520" w:lineRule="exact"/>
        <w:ind w:firstLine="470" w:firstLineChars="196"/>
        <w:outlineLvl w:val="0"/>
        <w:rPr>
          <w:rFonts w:ascii="宋体" w:hAnsi="宋体"/>
          <w:sz w:val="24"/>
          <w:szCs w:val="24"/>
        </w:rPr>
      </w:pPr>
      <w:r>
        <w:rPr>
          <w:rFonts w:ascii="宋体" w:hAnsi="宋体"/>
          <w:sz w:val="24"/>
          <w:szCs w:val="24"/>
        </w:rPr>
        <w:t>2、权利与义务</w:t>
      </w:r>
    </w:p>
    <w:p w14:paraId="71D8C3DB">
      <w:pPr>
        <w:spacing w:line="520" w:lineRule="exact"/>
        <w:ind w:firstLine="480" w:firstLineChars="200"/>
        <w:rPr>
          <w:rFonts w:ascii="宋体" w:hAnsi="宋体"/>
          <w:sz w:val="24"/>
          <w:szCs w:val="24"/>
        </w:rPr>
      </w:pPr>
      <w:r>
        <w:rPr>
          <w:rFonts w:ascii="宋体" w:hAnsi="宋体"/>
          <w:sz w:val="24"/>
          <w:szCs w:val="24"/>
        </w:rPr>
        <w:t>2.1 乙方应在合同规定期限内提供甲方所需货物或安排人员进场从事软件系统开发工作。乙方不得随意变更驻场开发人员或减少驻场开发人员数量，如有变更须征得甲方同意，否则承担违约责任。</w:t>
      </w:r>
    </w:p>
    <w:p w14:paraId="68813FCE">
      <w:pPr>
        <w:pStyle w:val="17"/>
        <w:snapToGrid w:val="0"/>
        <w:spacing w:after="0" w:line="520" w:lineRule="exact"/>
        <w:ind w:left="0" w:leftChars="0" w:firstLine="480" w:firstLineChars="200"/>
        <w:rPr>
          <w:rFonts w:ascii="宋体" w:hAnsi="宋体"/>
          <w:sz w:val="24"/>
          <w:szCs w:val="24"/>
        </w:rPr>
      </w:pPr>
      <w:r>
        <w:rPr>
          <w:rFonts w:ascii="宋体" w:hAnsi="宋体"/>
          <w:sz w:val="24"/>
          <w:szCs w:val="24"/>
        </w:rPr>
        <w:t>2.2甲方应对乙方运达甲方场所的货物进行现场初验，初验后制作初验报告，并由双方验收人员签字确认。甲方质疑乙方未按合同要求提供货物的，乙方应在初验后立即整改，并在七日内向甲方提供书面报告，否则承担违约责任。</w:t>
      </w:r>
    </w:p>
    <w:p w14:paraId="14095B06">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2.3 乙方应保证货物或软件系统完全符合合同约定的质量、规格和性能要求，乙方应保证其货物在其使用周期内具有满意的性能。</w:t>
      </w:r>
    </w:p>
    <w:p w14:paraId="64FAED13">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2.4 甲方应在甲方所在地向乙方提供货物安装调试或软件系统开发的工作场所，及时提供系统开发需要的有关测试数据。</w:t>
      </w:r>
    </w:p>
    <w:p w14:paraId="275FCE7F">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2.5甲方根据乙方履约情况，按照合同约定及时向乙方支付货款。</w:t>
      </w:r>
    </w:p>
    <w:p w14:paraId="24B57781">
      <w:pPr>
        <w:spacing w:line="520" w:lineRule="exact"/>
        <w:ind w:firstLine="470" w:firstLineChars="196"/>
        <w:outlineLvl w:val="0"/>
        <w:rPr>
          <w:rFonts w:ascii="宋体" w:hAnsi="宋体"/>
          <w:sz w:val="24"/>
          <w:szCs w:val="24"/>
        </w:rPr>
      </w:pPr>
      <w:r>
        <w:rPr>
          <w:rFonts w:ascii="宋体" w:hAnsi="宋体"/>
          <w:sz w:val="24"/>
          <w:szCs w:val="24"/>
        </w:rPr>
        <w:t>3、资产所有权</w:t>
      </w:r>
    </w:p>
    <w:p w14:paraId="061001AF">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3.1 乙方按本合同约定向甲方提供系统、软件等开发，其知识产权归甲方所有。</w:t>
      </w:r>
    </w:p>
    <w:p w14:paraId="2DDCCF21">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3.2乙方应保证提供甲方使用的货物或软件系统不得侵犯第三方专利权、商标权和工业设计权等，因上述侵权而产生的诉讼赔偿和费用，由乙方全部承担。</w:t>
      </w:r>
    </w:p>
    <w:p w14:paraId="3E23BF0C">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3.3合同标的物为软件系统的，乙方应在产品安装调试完毕，并正常运行后，无条件向甲方移交软件系统的程序源代码、软件技术文档以及有关的技术资料和信息。</w:t>
      </w:r>
    </w:p>
    <w:p w14:paraId="5A08B40E">
      <w:pPr>
        <w:spacing w:line="520" w:lineRule="exact"/>
        <w:ind w:firstLine="470" w:firstLineChars="196"/>
        <w:outlineLvl w:val="0"/>
        <w:rPr>
          <w:rFonts w:ascii="宋体" w:hAnsi="宋体"/>
          <w:sz w:val="24"/>
          <w:szCs w:val="24"/>
        </w:rPr>
      </w:pPr>
      <w:r>
        <w:rPr>
          <w:rFonts w:ascii="宋体" w:hAnsi="宋体"/>
          <w:sz w:val="24"/>
          <w:szCs w:val="24"/>
        </w:rPr>
        <w:t>4、包装要求</w:t>
      </w:r>
    </w:p>
    <w:p w14:paraId="7CAB55F6">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4.1除合同另有约定外，乙方提供的全部货物均应按规定或应有的保护措施进行包装。该包装应适用长距离运输、防潮、防震、防锈和防野蛮装卸需要，以确保货物安全无损运抵指定现场。由于包装不善所引起的货物锈蚀、损坏和损失均由乙方自行承担。</w:t>
      </w:r>
    </w:p>
    <w:p w14:paraId="718F5254">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4.2 每件包装箱内应附一份详细装箱单和质量合格标识。</w:t>
      </w:r>
    </w:p>
    <w:p w14:paraId="33FA63A9">
      <w:pPr>
        <w:spacing w:line="520" w:lineRule="exact"/>
        <w:ind w:firstLine="470" w:firstLineChars="196"/>
        <w:outlineLvl w:val="0"/>
        <w:rPr>
          <w:rFonts w:ascii="宋体" w:hAnsi="宋体"/>
          <w:sz w:val="24"/>
          <w:szCs w:val="24"/>
        </w:rPr>
      </w:pPr>
      <w:r>
        <w:rPr>
          <w:rFonts w:ascii="宋体" w:hAnsi="宋体"/>
          <w:sz w:val="24"/>
          <w:szCs w:val="24"/>
        </w:rPr>
        <w:t>5、货物运输</w:t>
      </w:r>
    </w:p>
    <w:p w14:paraId="38F6102A">
      <w:pPr>
        <w:spacing w:line="520" w:lineRule="exact"/>
        <w:ind w:firstLine="660"/>
        <w:rPr>
          <w:rFonts w:ascii="宋体" w:hAnsi="宋体"/>
          <w:sz w:val="24"/>
          <w:szCs w:val="24"/>
        </w:rPr>
      </w:pPr>
      <w:r>
        <w:rPr>
          <w:rFonts w:ascii="宋体" w:hAnsi="宋体"/>
          <w:sz w:val="24"/>
          <w:szCs w:val="24"/>
        </w:rPr>
        <w:t>根据采购人的指定地点，乙方负责安排运输，运输费由乙方自行承担。</w:t>
      </w:r>
    </w:p>
    <w:p w14:paraId="1C2B5AE4">
      <w:pPr>
        <w:spacing w:line="520" w:lineRule="exact"/>
        <w:ind w:firstLine="470" w:firstLineChars="196"/>
        <w:outlineLvl w:val="0"/>
        <w:rPr>
          <w:rFonts w:ascii="宋体" w:hAnsi="宋体"/>
          <w:sz w:val="24"/>
          <w:szCs w:val="24"/>
        </w:rPr>
      </w:pPr>
      <w:r>
        <w:rPr>
          <w:rFonts w:ascii="宋体" w:hAnsi="宋体"/>
          <w:sz w:val="24"/>
          <w:szCs w:val="24"/>
        </w:rPr>
        <w:t>6、质量与检验</w:t>
      </w:r>
    </w:p>
    <w:p w14:paraId="0BBF7BA2">
      <w:pPr>
        <w:tabs>
          <w:tab w:val="left" w:pos="1050"/>
          <w:tab w:val="left" w:pos="1080"/>
        </w:tabs>
        <w:spacing w:line="520" w:lineRule="exact"/>
        <w:ind w:firstLine="480" w:firstLineChars="200"/>
        <w:rPr>
          <w:rFonts w:ascii="宋体" w:hAnsi="宋体"/>
          <w:sz w:val="24"/>
          <w:szCs w:val="24"/>
        </w:rPr>
      </w:pPr>
      <w:r>
        <w:rPr>
          <w:rFonts w:ascii="宋体" w:hAnsi="宋体"/>
          <w:sz w:val="24"/>
          <w:szCs w:val="24"/>
        </w:rPr>
        <w:t>6.1 乙方应严格按照合同规定提供合格货物及服务。</w:t>
      </w:r>
    </w:p>
    <w:p w14:paraId="7F9FDFE0">
      <w:pPr>
        <w:tabs>
          <w:tab w:val="left" w:pos="720"/>
          <w:tab w:val="left" w:pos="1050"/>
          <w:tab w:val="left" w:pos="1080"/>
        </w:tabs>
        <w:spacing w:line="520" w:lineRule="exact"/>
        <w:ind w:firstLine="480" w:firstLineChars="200"/>
        <w:rPr>
          <w:rFonts w:ascii="宋体" w:hAnsi="宋体"/>
          <w:sz w:val="24"/>
          <w:szCs w:val="24"/>
        </w:rPr>
      </w:pPr>
      <w:r>
        <w:rPr>
          <w:rFonts w:ascii="宋体" w:hAnsi="宋体"/>
          <w:sz w:val="24"/>
          <w:szCs w:val="24"/>
        </w:rPr>
        <w:t>6.2甲方有权拒绝不符合质量要求的货物或服务，乙方应根据甲方要求及时更换相关货物或重新提供服务，且不得影响甲方工作的正常进行，由此产生的费用由乙方自行承担，如因更换或重作导致甲方项目逾期投入使用的，乙方还应承担逾期交付的违约和赔偿责任，同时本规定并不免除乙方承担在本合同项下的货物质量保证和其他相关义务。</w:t>
      </w:r>
    </w:p>
    <w:p w14:paraId="2CF10CEE">
      <w:pPr>
        <w:tabs>
          <w:tab w:val="left" w:pos="1080"/>
        </w:tabs>
        <w:spacing w:line="520" w:lineRule="exact"/>
        <w:ind w:firstLine="480" w:firstLineChars="200"/>
        <w:rPr>
          <w:rFonts w:ascii="宋体" w:hAnsi="宋体"/>
          <w:sz w:val="24"/>
          <w:szCs w:val="24"/>
        </w:rPr>
      </w:pPr>
      <w:r>
        <w:rPr>
          <w:rFonts w:ascii="宋体" w:hAnsi="宋体"/>
          <w:sz w:val="24"/>
          <w:szCs w:val="24"/>
        </w:rPr>
        <w:t>6.3乙方应在货物到货后，应及时申请甲方进行验收工作，经验收并经甲方代表签字后，方可进行安装施工，货物的到货验收包括：数量、外观、随货备件、装箱单、质量证书等随货料及包装完整无破损。</w:t>
      </w:r>
    </w:p>
    <w:p w14:paraId="75F4D559">
      <w:pPr>
        <w:spacing w:line="520" w:lineRule="exact"/>
        <w:ind w:firstLine="470" w:firstLineChars="196"/>
        <w:outlineLvl w:val="0"/>
        <w:rPr>
          <w:rFonts w:ascii="宋体" w:hAnsi="宋体"/>
          <w:sz w:val="24"/>
          <w:szCs w:val="24"/>
        </w:rPr>
      </w:pPr>
      <w:r>
        <w:rPr>
          <w:rFonts w:ascii="宋体" w:hAnsi="宋体"/>
          <w:sz w:val="24"/>
          <w:szCs w:val="24"/>
        </w:rPr>
        <w:t>7、项目验收</w:t>
      </w:r>
    </w:p>
    <w:p w14:paraId="28098B97">
      <w:pPr>
        <w:tabs>
          <w:tab w:val="left" w:pos="720"/>
        </w:tabs>
        <w:spacing w:line="520" w:lineRule="exact"/>
        <w:ind w:firstLine="480" w:firstLineChars="200"/>
        <w:rPr>
          <w:rFonts w:ascii="宋体" w:hAnsi="宋体"/>
          <w:sz w:val="24"/>
          <w:szCs w:val="24"/>
        </w:rPr>
      </w:pPr>
      <w:r>
        <w:rPr>
          <w:rFonts w:ascii="宋体" w:hAnsi="宋体"/>
          <w:sz w:val="24"/>
          <w:szCs w:val="24"/>
        </w:rPr>
        <w:t>7.1甲方在所采购货物安装调试完毕后，组织验收工作，在验收过程中发现的质量及其他问题，甲方应及时向乙方提出质疑并提出相应处理意见。</w:t>
      </w:r>
    </w:p>
    <w:p w14:paraId="098FEE6F">
      <w:pPr>
        <w:tabs>
          <w:tab w:val="left" w:pos="420"/>
          <w:tab w:val="left" w:pos="720"/>
          <w:tab w:val="left" w:pos="840"/>
          <w:tab w:val="left" w:pos="1260"/>
        </w:tabs>
        <w:spacing w:line="520" w:lineRule="exact"/>
        <w:ind w:firstLine="480" w:firstLineChars="200"/>
        <w:rPr>
          <w:rFonts w:ascii="宋体" w:hAnsi="宋体"/>
          <w:sz w:val="24"/>
          <w:szCs w:val="24"/>
        </w:rPr>
      </w:pPr>
      <w:r>
        <w:rPr>
          <w:rFonts w:ascii="宋体" w:hAnsi="宋体"/>
          <w:sz w:val="24"/>
          <w:szCs w:val="24"/>
        </w:rPr>
        <w:t>7.2 乙方在接到甲方质疑后应立即开展整改，并在七日内向甲方提供书面报告，否则承担违约责任。</w:t>
      </w:r>
    </w:p>
    <w:p w14:paraId="07FED422">
      <w:pPr>
        <w:tabs>
          <w:tab w:val="left" w:pos="420"/>
          <w:tab w:val="left" w:pos="720"/>
          <w:tab w:val="left" w:pos="840"/>
          <w:tab w:val="left" w:pos="1260"/>
        </w:tabs>
        <w:spacing w:line="520" w:lineRule="exact"/>
        <w:ind w:firstLine="480" w:firstLineChars="200"/>
        <w:rPr>
          <w:rFonts w:ascii="宋体" w:hAnsi="宋体"/>
          <w:sz w:val="24"/>
          <w:szCs w:val="24"/>
        </w:rPr>
      </w:pPr>
      <w:r>
        <w:rPr>
          <w:rFonts w:ascii="宋体" w:hAnsi="宋体"/>
          <w:sz w:val="24"/>
          <w:szCs w:val="24"/>
        </w:rPr>
        <w:t>7.3 如果货物或软件系统的质量、规格与合同约定不符，或在质量保证期内发现货物是有缺陷的，包括潜在缺陷或使用不符合要求的材料，甲方有权申请有相关资质的检验机构进行检验，如检验结果存在上述情形，甲方有权凭检验报告向乙方提出索赔，检验费用由乙方承担。</w:t>
      </w:r>
    </w:p>
    <w:p w14:paraId="3CB6E5D7">
      <w:pPr>
        <w:spacing w:line="520" w:lineRule="exact"/>
        <w:ind w:firstLine="470" w:firstLineChars="196"/>
        <w:outlineLvl w:val="0"/>
        <w:rPr>
          <w:rFonts w:ascii="宋体" w:hAnsi="宋体"/>
          <w:sz w:val="24"/>
          <w:szCs w:val="24"/>
        </w:rPr>
      </w:pPr>
      <w:r>
        <w:rPr>
          <w:rFonts w:ascii="宋体" w:hAnsi="宋体"/>
          <w:sz w:val="24"/>
          <w:szCs w:val="24"/>
        </w:rPr>
        <w:t>8、伴随服务</w:t>
      </w:r>
    </w:p>
    <w:p w14:paraId="63BC6C29">
      <w:pPr>
        <w:spacing w:line="520" w:lineRule="exact"/>
        <w:ind w:firstLine="480" w:firstLineChars="200"/>
        <w:rPr>
          <w:rFonts w:ascii="宋体" w:hAnsi="宋体"/>
          <w:sz w:val="24"/>
          <w:szCs w:val="24"/>
        </w:rPr>
      </w:pPr>
      <w:r>
        <w:rPr>
          <w:rFonts w:ascii="宋体" w:hAnsi="宋体"/>
          <w:sz w:val="24"/>
          <w:szCs w:val="24"/>
        </w:rPr>
        <w:t>8.1 乙方应按照有关法律、法规和合同中的双方约定及乙方服务承诺提供服务。</w:t>
      </w:r>
    </w:p>
    <w:p w14:paraId="7BB799A6">
      <w:pPr>
        <w:spacing w:line="520" w:lineRule="exact"/>
        <w:ind w:firstLine="480" w:firstLineChars="200"/>
        <w:rPr>
          <w:rFonts w:ascii="宋体" w:hAnsi="宋体"/>
          <w:sz w:val="24"/>
          <w:szCs w:val="24"/>
        </w:rPr>
      </w:pPr>
      <w:r>
        <w:rPr>
          <w:rFonts w:ascii="宋体" w:hAnsi="宋体"/>
          <w:sz w:val="24"/>
          <w:szCs w:val="24"/>
        </w:rPr>
        <w:t>8.2 除第8．1条规定外，乙方还应提供下列服务：</w:t>
      </w:r>
    </w:p>
    <w:p w14:paraId="6421D354">
      <w:pPr>
        <w:spacing w:line="520" w:lineRule="exact"/>
        <w:ind w:firstLine="480" w:firstLineChars="200"/>
        <w:outlineLvl w:val="0"/>
        <w:rPr>
          <w:rFonts w:ascii="宋体" w:hAnsi="宋体"/>
          <w:sz w:val="24"/>
          <w:szCs w:val="24"/>
        </w:rPr>
      </w:pPr>
      <w:r>
        <w:rPr>
          <w:rFonts w:ascii="宋体" w:hAnsi="宋体"/>
          <w:sz w:val="24"/>
          <w:szCs w:val="24"/>
        </w:rPr>
        <w:t>（1）货物的现场安装和启动监督；</w:t>
      </w:r>
    </w:p>
    <w:p w14:paraId="59AE2878">
      <w:pPr>
        <w:spacing w:line="520" w:lineRule="exact"/>
        <w:ind w:firstLine="480" w:firstLineChars="200"/>
        <w:rPr>
          <w:rFonts w:ascii="宋体" w:hAnsi="宋体"/>
          <w:sz w:val="24"/>
          <w:szCs w:val="24"/>
        </w:rPr>
      </w:pPr>
      <w:r>
        <w:rPr>
          <w:rFonts w:ascii="宋体" w:hAnsi="宋体"/>
          <w:sz w:val="24"/>
          <w:szCs w:val="24"/>
        </w:rPr>
        <w:t>（2）提供货物组装和维修所需的工具；</w:t>
      </w:r>
    </w:p>
    <w:p w14:paraId="13BB334E">
      <w:pPr>
        <w:spacing w:line="520" w:lineRule="exact"/>
        <w:ind w:firstLine="480" w:firstLineChars="200"/>
        <w:rPr>
          <w:rFonts w:ascii="宋体" w:hAnsi="宋体"/>
          <w:sz w:val="24"/>
          <w:szCs w:val="24"/>
        </w:rPr>
      </w:pPr>
      <w:r>
        <w:rPr>
          <w:rFonts w:ascii="宋体" w:hAnsi="宋体"/>
          <w:sz w:val="24"/>
          <w:szCs w:val="24"/>
        </w:rPr>
        <w:t>（3）乙方承诺的期限内对所提供货物或软件系统的运行监督、维修，该服务并不能免除乙方在质量保证期内应承担的义务；</w:t>
      </w:r>
    </w:p>
    <w:p w14:paraId="42BECC8B">
      <w:pPr>
        <w:spacing w:line="520" w:lineRule="exact"/>
        <w:ind w:firstLine="480" w:firstLineChars="200"/>
        <w:rPr>
          <w:rFonts w:ascii="宋体" w:hAnsi="宋体"/>
          <w:sz w:val="24"/>
          <w:szCs w:val="24"/>
        </w:rPr>
      </w:pPr>
      <w:r>
        <w:rPr>
          <w:rFonts w:ascii="宋体" w:hAnsi="宋体"/>
          <w:sz w:val="24"/>
          <w:szCs w:val="24"/>
        </w:rPr>
        <w:t>（4）在项目交货现场就货物的安装、启动、运行、维护对甲方人员进行培训。</w:t>
      </w:r>
    </w:p>
    <w:p w14:paraId="33DE8528">
      <w:pPr>
        <w:spacing w:line="520" w:lineRule="exact"/>
        <w:ind w:firstLine="480" w:firstLineChars="200"/>
        <w:rPr>
          <w:rFonts w:ascii="宋体" w:hAnsi="宋体"/>
          <w:sz w:val="24"/>
          <w:szCs w:val="24"/>
        </w:rPr>
      </w:pPr>
      <w:r>
        <w:rPr>
          <w:rFonts w:ascii="宋体" w:hAnsi="宋体"/>
          <w:sz w:val="24"/>
          <w:szCs w:val="24"/>
        </w:rPr>
        <w:t>8.3 伴随服务的费用应含在合同价中，不单独进行支付。</w:t>
      </w:r>
    </w:p>
    <w:p w14:paraId="5717FF2C">
      <w:pPr>
        <w:spacing w:line="520" w:lineRule="exact"/>
        <w:ind w:firstLine="470" w:firstLineChars="196"/>
        <w:outlineLvl w:val="0"/>
        <w:rPr>
          <w:rFonts w:ascii="宋体" w:hAnsi="宋体"/>
          <w:sz w:val="24"/>
          <w:szCs w:val="24"/>
        </w:rPr>
      </w:pPr>
      <w:r>
        <w:rPr>
          <w:rFonts w:ascii="宋体" w:hAnsi="宋体"/>
          <w:sz w:val="24"/>
          <w:szCs w:val="24"/>
        </w:rPr>
        <w:t>9、保密条款</w:t>
      </w:r>
    </w:p>
    <w:p w14:paraId="2D3C0C2B">
      <w:pPr>
        <w:pStyle w:val="18"/>
        <w:spacing w:line="520" w:lineRule="exact"/>
        <w:ind w:firstLine="480" w:firstLineChars="200"/>
        <w:rPr>
          <w:rFonts w:hAnsi="宋体"/>
          <w:sz w:val="24"/>
          <w:szCs w:val="24"/>
        </w:rPr>
      </w:pPr>
      <w:r>
        <w:rPr>
          <w:rFonts w:hAnsi="宋体"/>
          <w:sz w:val="24"/>
          <w:szCs w:val="24"/>
        </w:rPr>
        <w:t>9.1 甲方应对乙方开发的软件系统源代码、软件技术文档以及与项目有关的技术和资料等信息应恪守保密义务，除甲方对乙方开发的软件系统进行二次开发所需外,未经乙方书面同意，不得以任何方式将上述信息部分或全部披露给任何第三方。</w:t>
      </w:r>
    </w:p>
    <w:p w14:paraId="19BB973A">
      <w:pPr>
        <w:pStyle w:val="13"/>
        <w:spacing w:line="520" w:lineRule="exact"/>
        <w:ind w:firstLine="480" w:firstLineChars="200"/>
        <w:rPr>
          <w:rFonts w:ascii="宋体" w:hAnsi="宋体"/>
          <w:kern w:val="0"/>
          <w:sz w:val="24"/>
          <w:szCs w:val="24"/>
        </w:rPr>
      </w:pPr>
      <w:r>
        <w:rPr>
          <w:rFonts w:ascii="宋体" w:hAnsi="宋体"/>
          <w:sz w:val="24"/>
          <w:szCs w:val="24"/>
        </w:rPr>
        <w:t>9.2</w:t>
      </w:r>
      <w:r>
        <w:rPr>
          <w:rFonts w:ascii="宋体" w:hAnsi="宋体"/>
          <w:kern w:val="0"/>
          <w:sz w:val="24"/>
          <w:szCs w:val="24"/>
        </w:rPr>
        <w:t>任意一方可根据相关法律规定向有调查权的机关单位提供机密资料</w:t>
      </w:r>
      <w:r>
        <w:rPr>
          <w:rFonts w:ascii="宋体" w:hAnsi="宋体"/>
          <w:sz w:val="24"/>
          <w:szCs w:val="24"/>
        </w:rPr>
        <w:t>时，应该在提供之前将此项事实通知对方。</w:t>
      </w:r>
    </w:p>
    <w:p w14:paraId="7F583F07">
      <w:pPr>
        <w:spacing w:line="520" w:lineRule="exact"/>
        <w:ind w:firstLine="480" w:firstLineChars="200"/>
        <w:outlineLvl w:val="0"/>
        <w:rPr>
          <w:rFonts w:ascii="宋体" w:hAnsi="宋体"/>
          <w:kern w:val="0"/>
          <w:sz w:val="24"/>
          <w:szCs w:val="24"/>
        </w:rPr>
      </w:pPr>
      <w:r>
        <w:rPr>
          <w:rFonts w:ascii="宋体" w:hAnsi="宋体"/>
          <w:kern w:val="0"/>
          <w:sz w:val="24"/>
          <w:szCs w:val="24"/>
        </w:rPr>
        <w:t>9.3 乙方对在履行本合同过程中所知晓到的甲方文件资料，软件和数据等负有保密义务。未经甲方书面同意，不得将所知晓的信息全部或部分向第三方透露，如有违反，应承担违约赔偿责任。情节严重的，甲方有权视情追究乙方其他法律责任。</w:t>
      </w:r>
    </w:p>
    <w:p w14:paraId="1AB5B93B">
      <w:pPr>
        <w:pStyle w:val="18"/>
        <w:spacing w:line="520" w:lineRule="exact"/>
        <w:ind w:firstLine="480" w:firstLineChars="200"/>
        <w:rPr>
          <w:rFonts w:hAnsi="宋体"/>
          <w:kern w:val="0"/>
          <w:sz w:val="24"/>
          <w:szCs w:val="24"/>
        </w:rPr>
      </w:pPr>
      <w:r>
        <w:rPr>
          <w:rFonts w:hAnsi="宋体"/>
          <w:sz w:val="24"/>
          <w:szCs w:val="24"/>
        </w:rPr>
        <w:t>9.4 本合同无论何种原因终止、变更或解除，保密条款继续</w:t>
      </w:r>
      <w:r>
        <w:rPr>
          <w:rFonts w:hAnsi="宋体"/>
          <w:kern w:val="0"/>
          <w:sz w:val="24"/>
          <w:szCs w:val="24"/>
        </w:rPr>
        <w:t>保持其原有效力。</w:t>
      </w:r>
    </w:p>
    <w:p w14:paraId="13EBD9E7">
      <w:pPr>
        <w:spacing w:line="520" w:lineRule="exact"/>
        <w:ind w:firstLine="470" w:firstLineChars="196"/>
        <w:outlineLvl w:val="0"/>
        <w:rPr>
          <w:rFonts w:ascii="宋体" w:hAnsi="宋体"/>
          <w:sz w:val="24"/>
          <w:szCs w:val="24"/>
        </w:rPr>
      </w:pPr>
      <w:r>
        <w:rPr>
          <w:rFonts w:ascii="宋体" w:hAnsi="宋体"/>
          <w:sz w:val="24"/>
          <w:szCs w:val="24"/>
        </w:rPr>
        <w:t>10、索赔</w:t>
      </w:r>
    </w:p>
    <w:p w14:paraId="0B169430">
      <w:pPr>
        <w:spacing w:line="520" w:lineRule="exact"/>
        <w:ind w:firstLine="480" w:firstLineChars="200"/>
        <w:rPr>
          <w:rFonts w:ascii="宋体" w:hAnsi="宋体"/>
          <w:sz w:val="24"/>
          <w:szCs w:val="24"/>
        </w:rPr>
      </w:pPr>
      <w:r>
        <w:rPr>
          <w:rFonts w:ascii="宋体" w:hAnsi="宋体"/>
          <w:sz w:val="24"/>
          <w:szCs w:val="24"/>
        </w:rPr>
        <w:t>10.1 甲方有权根据有资质的检验机构出具的检验报告，向乙方提出索赔。</w:t>
      </w:r>
    </w:p>
    <w:p w14:paraId="386E5B8F">
      <w:pPr>
        <w:spacing w:line="520" w:lineRule="exact"/>
        <w:ind w:firstLine="480" w:firstLineChars="200"/>
        <w:rPr>
          <w:rFonts w:ascii="宋体" w:hAnsi="宋体"/>
          <w:sz w:val="24"/>
          <w:szCs w:val="24"/>
        </w:rPr>
      </w:pPr>
      <w:r>
        <w:rPr>
          <w:rFonts w:ascii="宋体" w:hAnsi="宋体"/>
          <w:sz w:val="24"/>
          <w:szCs w:val="24"/>
        </w:rPr>
        <w:t>10.2在合同规定的检验期和质量保证期内，因货物或服务不符合合同要求，乙方应按照下列一种或多种方式解决索赔事宜：</w:t>
      </w:r>
    </w:p>
    <w:p w14:paraId="6932E5F2">
      <w:pPr>
        <w:spacing w:line="520" w:lineRule="exact"/>
        <w:ind w:firstLine="480" w:firstLineChars="200"/>
        <w:rPr>
          <w:rFonts w:ascii="宋体" w:hAnsi="宋体"/>
          <w:sz w:val="24"/>
          <w:szCs w:val="24"/>
        </w:rPr>
      </w:pPr>
      <w:r>
        <w:rPr>
          <w:rFonts w:ascii="宋体" w:hAnsi="宋体"/>
          <w:sz w:val="24"/>
          <w:szCs w:val="24"/>
        </w:rPr>
        <w:t>（1） 乙方同意退货，应按合同中规定的结算货币将货款退还给甲方，并承担由此发生的一切损失和费用，包括利息、银行手续费、运费、保险费、检验费、仓储费、装卸费以及为保护退回货物所发生或即将发生的其它必要费用。</w:t>
      </w:r>
    </w:p>
    <w:p w14:paraId="648AA1CC">
      <w:pPr>
        <w:spacing w:line="520" w:lineRule="exact"/>
        <w:ind w:firstLine="480" w:firstLineChars="200"/>
        <w:rPr>
          <w:rFonts w:ascii="宋体" w:hAnsi="宋体"/>
          <w:sz w:val="24"/>
          <w:szCs w:val="24"/>
        </w:rPr>
      </w:pPr>
      <w:r>
        <w:rPr>
          <w:rFonts w:ascii="宋体" w:hAnsi="宋体"/>
          <w:sz w:val="24"/>
          <w:szCs w:val="24"/>
        </w:rPr>
        <w:t>（2） 根据货物的低劣程度、损坏程度以及甲方所遭损失的数额，乙方必须相应降低货物的价格。</w:t>
      </w:r>
    </w:p>
    <w:p w14:paraId="09716543">
      <w:pPr>
        <w:spacing w:line="520" w:lineRule="exact"/>
        <w:ind w:firstLine="480" w:firstLineChars="200"/>
        <w:rPr>
          <w:rFonts w:ascii="宋体" w:hAnsi="宋体"/>
          <w:sz w:val="24"/>
          <w:szCs w:val="24"/>
        </w:rPr>
      </w:pPr>
      <w:r>
        <w:rPr>
          <w:rFonts w:ascii="宋体" w:hAnsi="宋体"/>
          <w:sz w:val="24"/>
          <w:szCs w:val="24"/>
        </w:rPr>
        <w:t>（3） 用符合合同约定规格、质量和性能要求的新零件、部件或设备来更换或修补有缺陷的部分，乙方自行承担一切费用和风险，同时负担甲方所遭受的全部损失费用，乙方应对更换和修补件延长相应的质量保证期。</w:t>
      </w:r>
    </w:p>
    <w:p w14:paraId="0CEC2A9F">
      <w:pPr>
        <w:spacing w:line="520" w:lineRule="exact"/>
        <w:ind w:firstLine="480" w:firstLineChars="200"/>
        <w:rPr>
          <w:rFonts w:ascii="宋体" w:hAnsi="宋体"/>
          <w:sz w:val="24"/>
          <w:szCs w:val="24"/>
        </w:rPr>
      </w:pPr>
      <w:r>
        <w:rPr>
          <w:rFonts w:ascii="宋体" w:hAnsi="宋体"/>
          <w:sz w:val="24"/>
          <w:szCs w:val="24"/>
        </w:rPr>
        <w:t>10.3 在甲方发出索赔通知之日起二十日内，乙方如未作答复，上述索赔应视为已被乙方接受，如乙方在甲方发出索赔通知之日起二十日内或甲方同意的其他时间内，未能按照本合同约定的任何一种方法解决索赔事宜，甲方有权从乙方履约保证金中扣除索赔金额并采用法律手段解决索赔事宜。</w:t>
      </w:r>
    </w:p>
    <w:p w14:paraId="46F43A1B">
      <w:pPr>
        <w:spacing w:line="520" w:lineRule="exact"/>
        <w:ind w:firstLine="470" w:firstLineChars="196"/>
        <w:outlineLvl w:val="0"/>
        <w:rPr>
          <w:rFonts w:ascii="宋体" w:hAnsi="宋体"/>
          <w:sz w:val="24"/>
          <w:szCs w:val="24"/>
        </w:rPr>
      </w:pPr>
      <w:r>
        <w:rPr>
          <w:rFonts w:ascii="宋体" w:hAnsi="宋体"/>
          <w:sz w:val="24"/>
          <w:szCs w:val="24"/>
        </w:rPr>
        <w:t>11、逾期交货</w:t>
      </w:r>
    </w:p>
    <w:p w14:paraId="223110C5">
      <w:pPr>
        <w:spacing w:line="520" w:lineRule="exact"/>
        <w:ind w:firstLine="480" w:firstLineChars="200"/>
        <w:rPr>
          <w:rFonts w:ascii="宋体" w:hAnsi="宋体"/>
          <w:sz w:val="24"/>
          <w:szCs w:val="24"/>
        </w:rPr>
      </w:pPr>
      <w:r>
        <w:rPr>
          <w:rFonts w:ascii="宋体" w:hAnsi="宋体"/>
          <w:sz w:val="24"/>
          <w:szCs w:val="24"/>
        </w:rPr>
        <w:t>11.1 乙方应按照合同约定的交货期交货。如果乙方无正当理由拖延交货，应承担误期赔偿责任，同时，甲方有权没收履约保证金，并视情解除或终止合同。</w:t>
      </w:r>
    </w:p>
    <w:p w14:paraId="00C135DA">
      <w:pPr>
        <w:spacing w:line="520" w:lineRule="exact"/>
        <w:ind w:firstLine="480" w:firstLineChars="200"/>
        <w:rPr>
          <w:rFonts w:ascii="宋体" w:hAnsi="宋体"/>
          <w:sz w:val="24"/>
          <w:szCs w:val="24"/>
        </w:rPr>
      </w:pPr>
      <w:r>
        <w:rPr>
          <w:rFonts w:ascii="宋体" w:hAnsi="宋体"/>
          <w:sz w:val="24"/>
          <w:szCs w:val="24"/>
        </w:rPr>
        <w:t>11.2 在履行合同过程中，如果乙方遇到不能按时交货和提供服务的情况，应在七日内以书面形式将不能按时交货的理由、可能延误的时间通知甲方。甲方收到乙方通知后，甲方有权决定是否同意修改合同、酌情延长交货时间或终止合同。</w:t>
      </w:r>
    </w:p>
    <w:p w14:paraId="6C2EFF05">
      <w:pPr>
        <w:pStyle w:val="13"/>
        <w:spacing w:line="520" w:lineRule="exact"/>
        <w:ind w:firstLine="480" w:firstLineChars="200"/>
        <w:rPr>
          <w:rFonts w:ascii="宋体" w:hAnsi="宋体"/>
          <w:sz w:val="24"/>
          <w:szCs w:val="24"/>
        </w:rPr>
      </w:pPr>
      <w:r>
        <w:rPr>
          <w:rFonts w:ascii="宋体" w:hAnsi="宋体"/>
          <w:sz w:val="24"/>
          <w:szCs w:val="24"/>
        </w:rPr>
        <w:t>11.3 如果乙方没有按照合同约定的时间交货和提供服务，甲方将从货款中扣除误期赔偿费，但不免除乙方的其他相关责任和义务。赔偿费每天按合同总价的0.1%计收，直至交货或提供服务为止。误期赔偿费的最高限额为合同总价15%。一旦达到误期赔偿的最高限额，甲方有权终止或解除合同。</w:t>
      </w:r>
    </w:p>
    <w:p w14:paraId="567B3651">
      <w:pPr>
        <w:spacing w:line="520" w:lineRule="exact"/>
        <w:ind w:firstLine="470" w:firstLineChars="196"/>
        <w:outlineLvl w:val="0"/>
        <w:rPr>
          <w:rFonts w:ascii="宋体" w:hAnsi="宋体"/>
          <w:sz w:val="24"/>
          <w:szCs w:val="24"/>
        </w:rPr>
      </w:pPr>
      <w:r>
        <w:rPr>
          <w:rFonts w:ascii="宋体" w:hAnsi="宋体"/>
          <w:sz w:val="24"/>
          <w:szCs w:val="24"/>
        </w:rPr>
        <w:t>12、不可抗力</w:t>
      </w:r>
    </w:p>
    <w:p w14:paraId="0B3E7163">
      <w:pPr>
        <w:pStyle w:val="13"/>
        <w:spacing w:line="520" w:lineRule="exact"/>
        <w:ind w:firstLine="480" w:firstLineChars="200"/>
        <w:rPr>
          <w:rFonts w:ascii="宋体" w:hAnsi="宋体"/>
          <w:sz w:val="24"/>
          <w:szCs w:val="24"/>
        </w:rPr>
      </w:pPr>
      <w:r>
        <w:rPr>
          <w:rFonts w:ascii="宋体" w:hAnsi="宋体"/>
          <w:sz w:val="24"/>
          <w:szCs w:val="24"/>
        </w:rPr>
        <w:t>12.1 任何一方因不可抗力而导致延迟履行或不能履行合同义务的，可以减轻或者免除相关违约责任。</w:t>
      </w:r>
    </w:p>
    <w:p w14:paraId="5D11DABE">
      <w:pPr>
        <w:pStyle w:val="13"/>
        <w:spacing w:line="520" w:lineRule="exact"/>
        <w:ind w:firstLine="480" w:firstLineChars="200"/>
        <w:rPr>
          <w:rFonts w:ascii="宋体" w:hAnsi="宋体"/>
          <w:sz w:val="24"/>
          <w:szCs w:val="24"/>
        </w:rPr>
      </w:pPr>
      <w:r>
        <w:rPr>
          <w:rFonts w:ascii="宋体" w:hAnsi="宋体"/>
          <w:sz w:val="24"/>
          <w:szCs w:val="24"/>
        </w:rPr>
        <w:t>12.2 在不可抗力事件发生后，一方应尽快以书面形式将不可抗力的情况和原因通知另一方并提供相应证明文件。</w:t>
      </w:r>
    </w:p>
    <w:p w14:paraId="284DE7D5">
      <w:pPr>
        <w:spacing w:line="520" w:lineRule="exact"/>
        <w:ind w:firstLine="470" w:firstLineChars="196"/>
        <w:outlineLvl w:val="0"/>
        <w:rPr>
          <w:rFonts w:ascii="宋体" w:hAnsi="宋体"/>
          <w:sz w:val="24"/>
          <w:szCs w:val="24"/>
        </w:rPr>
      </w:pPr>
      <w:r>
        <w:rPr>
          <w:rFonts w:ascii="宋体" w:hAnsi="宋体"/>
          <w:sz w:val="24"/>
          <w:szCs w:val="24"/>
        </w:rPr>
        <w:t>13、税费</w:t>
      </w:r>
    </w:p>
    <w:p w14:paraId="61274357">
      <w:pPr>
        <w:spacing w:line="520" w:lineRule="exact"/>
        <w:ind w:firstLine="480" w:firstLineChars="200"/>
        <w:rPr>
          <w:rFonts w:ascii="宋体" w:hAnsi="宋体"/>
          <w:sz w:val="24"/>
          <w:szCs w:val="24"/>
        </w:rPr>
      </w:pPr>
      <w:r>
        <w:rPr>
          <w:rFonts w:ascii="宋体" w:hAnsi="宋体"/>
          <w:sz w:val="24"/>
          <w:szCs w:val="24"/>
        </w:rPr>
        <w:t>本合同价款为含税价，与本合同有关的一切税费均由乙方自行负担。</w:t>
      </w:r>
    </w:p>
    <w:p w14:paraId="176BCCF8">
      <w:pPr>
        <w:spacing w:line="520" w:lineRule="exact"/>
        <w:ind w:firstLine="470" w:firstLineChars="196"/>
        <w:outlineLvl w:val="0"/>
        <w:rPr>
          <w:rFonts w:ascii="宋体" w:hAnsi="宋体"/>
          <w:sz w:val="24"/>
          <w:szCs w:val="24"/>
        </w:rPr>
      </w:pPr>
      <w:r>
        <w:rPr>
          <w:rFonts w:ascii="宋体" w:hAnsi="宋体"/>
          <w:sz w:val="24"/>
          <w:szCs w:val="24"/>
        </w:rPr>
        <w:t>14、履约保证金</w:t>
      </w:r>
    </w:p>
    <w:p w14:paraId="17A9E7E7">
      <w:pPr>
        <w:spacing w:line="520" w:lineRule="exact"/>
        <w:ind w:firstLine="470" w:firstLineChars="196"/>
        <w:outlineLvl w:val="0"/>
        <w:rPr>
          <w:rFonts w:ascii="宋体" w:hAnsi="宋体"/>
          <w:color w:val="000000"/>
          <w:sz w:val="24"/>
          <w:szCs w:val="24"/>
        </w:rPr>
      </w:pPr>
      <w:r>
        <w:rPr>
          <w:rFonts w:ascii="宋体" w:hAnsi="宋体"/>
          <w:color w:val="000000"/>
          <w:sz w:val="24"/>
          <w:szCs w:val="24"/>
        </w:rPr>
        <w:t>本项目不收取履约保证金。</w:t>
      </w:r>
    </w:p>
    <w:p w14:paraId="6E9BFE5C">
      <w:pPr>
        <w:spacing w:line="520" w:lineRule="exact"/>
        <w:ind w:firstLine="470" w:firstLineChars="196"/>
        <w:outlineLvl w:val="0"/>
        <w:rPr>
          <w:rFonts w:ascii="宋体" w:hAnsi="宋体"/>
          <w:sz w:val="24"/>
          <w:szCs w:val="24"/>
        </w:rPr>
      </w:pPr>
      <w:r>
        <w:rPr>
          <w:rFonts w:ascii="宋体" w:hAnsi="宋体"/>
          <w:sz w:val="24"/>
          <w:szCs w:val="24"/>
        </w:rPr>
        <w:t>15、解决争议的方式</w:t>
      </w:r>
    </w:p>
    <w:p w14:paraId="562AC1FE">
      <w:pPr>
        <w:spacing w:line="520" w:lineRule="exact"/>
        <w:ind w:firstLine="480" w:firstLineChars="200"/>
        <w:rPr>
          <w:rFonts w:ascii="宋体" w:hAnsi="宋体"/>
          <w:sz w:val="24"/>
          <w:szCs w:val="24"/>
        </w:rPr>
      </w:pPr>
      <w:r>
        <w:rPr>
          <w:rFonts w:ascii="宋体" w:hAnsi="宋体"/>
          <w:sz w:val="24"/>
          <w:szCs w:val="24"/>
        </w:rPr>
        <w:t>双方在合同履行期间发生争议的，在不影响项目进度的前提下，双方应采取协商解决。协商不成，双方当事人可向</w:t>
      </w:r>
      <w:r>
        <w:rPr>
          <w:rFonts w:ascii="宋体" w:hAnsi="宋体"/>
          <w:sz w:val="24"/>
          <w:szCs w:val="24"/>
          <w:u w:val="single"/>
        </w:rPr>
        <w:t xml:space="preserve">  淮安  </w:t>
      </w:r>
      <w:r>
        <w:rPr>
          <w:rFonts w:ascii="宋体" w:hAnsi="宋体"/>
          <w:sz w:val="24"/>
          <w:szCs w:val="24"/>
        </w:rPr>
        <w:t>仲裁委员会提请仲裁。</w:t>
      </w:r>
    </w:p>
    <w:p w14:paraId="4F40F97D">
      <w:pPr>
        <w:spacing w:line="520" w:lineRule="exact"/>
        <w:ind w:firstLine="470" w:firstLineChars="196"/>
        <w:outlineLvl w:val="0"/>
        <w:rPr>
          <w:rFonts w:ascii="宋体" w:hAnsi="宋体"/>
          <w:sz w:val="24"/>
          <w:szCs w:val="24"/>
        </w:rPr>
      </w:pPr>
      <w:r>
        <w:rPr>
          <w:rFonts w:ascii="宋体" w:hAnsi="宋体"/>
          <w:sz w:val="24"/>
          <w:szCs w:val="24"/>
        </w:rPr>
        <w:t>16、终止合同</w:t>
      </w:r>
    </w:p>
    <w:p w14:paraId="463B22E5">
      <w:pPr>
        <w:pStyle w:val="18"/>
        <w:spacing w:line="520" w:lineRule="exact"/>
        <w:rPr>
          <w:rFonts w:hAnsi="宋体"/>
          <w:sz w:val="24"/>
          <w:szCs w:val="24"/>
        </w:rPr>
      </w:pPr>
      <w:r>
        <w:rPr>
          <w:rFonts w:hAnsi="宋体"/>
          <w:sz w:val="24"/>
          <w:szCs w:val="24"/>
        </w:rPr>
        <w:t xml:space="preserve">    16.1 乙方违约后虽采取补救措施，但有以下情形的，甲方有权解除或终止部分或全部合同。</w:t>
      </w:r>
    </w:p>
    <w:p w14:paraId="10B6B80E">
      <w:pPr>
        <w:pStyle w:val="18"/>
        <w:spacing w:line="520" w:lineRule="exact"/>
        <w:rPr>
          <w:rFonts w:hAnsi="宋体"/>
          <w:sz w:val="24"/>
          <w:szCs w:val="24"/>
        </w:rPr>
      </w:pPr>
      <w:r>
        <w:rPr>
          <w:rFonts w:hAnsi="宋体"/>
          <w:sz w:val="24"/>
          <w:szCs w:val="24"/>
        </w:rPr>
        <w:t xml:space="preserve">   （1） 乙方未能按合同约定的期限或甲方同意延长的限期内提供部分或全部货物的；</w:t>
      </w:r>
    </w:p>
    <w:p w14:paraId="5BA262D7">
      <w:pPr>
        <w:pStyle w:val="18"/>
        <w:spacing w:line="520" w:lineRule="exact"/>
        <w:ind w:firstLine="360" w:firstLineChars="150"/>
        <w:rPr>
          <w:rFonts w:hAnsi="宋体"/>
          <w:sz w:val="24"/>
          <w:szCs w:val="24"/>
        </w:rPr>
      </w:pPr>
      <w:r>
        <w:rPr>
          <w:rFonts w:hAnsi="宋体"/>
          <w:sz w:val="24"/>
          <w:szCs w:val="24"/>
        </w:rPr>
        <w:t>（2） 乙方在收到甲方发出整改通知的二十日内，或经甲方书面认可延长时间内未能纠正其错误的；</w:t>
      </w:r>
    </w:p>
    <w:p w14:paraId="29CC0CB3">
      <w:pPr>
        <w:pStyle w:val="18"/>
        <w:spacing w:line="520" w:lineRule="exact"/>
        <w:ind w:firstLine="360" w:firstLineChars="150"/>
        <w:rPr>
          <w:rFonts w:hAnsi="宋体"/>
          <w:sz w:val="24"/>
          <w:szCs w:val="24"/>
        </w:rPr>
      </w:pPr>
      <w:r>
        <w:rPr>
          <w:rFonts w:hAnsi="宋体"/>
          <w:sz w:val="24"/>
          <w:szCs w:val="24"/>
        </w:rPr>
        <w:t>（3） 乙方未能履行合同规定的其他义务。</w:t>
      </w:r>
    </w:p>
    <w:p w14:paraId="5EEE56F5">
      <w:pPr>
        <w:pStyle w:val="18"/>
        <w:spacing w:line="520" w:lineRule="exact"/>
        <w:rPr>
          <w:rFonts w:hAnsi="宋体"/>
          <w:sz w:val="24"/>
          <w:szCs w:val="24"/>
        </w:rPr>
      </w:pPr>
      <w:r>
        <w:rPr>
          <w:rFonts w:hAnsi="宋体"/>
          <w:sz w:val="24"/>
          <w:szCs w:val="24"/>
        </w:rPr>
        <w:t xml:space="preserve">    16.2  在甲方根据第16.1条约定，解除或终止全部或部分合同后，甲方可以依其认为适当的条件和方法，向乙方以外的单位购买乙方未交的类似货物，乙方应对甲方所购货物超出部分的费用负责，同时乙方应继续履行合同中未终止的部分内容。</w:t>
      </w:r>
    </w:p>
    <w:p w14:paraId="7857CB64">
      <w:pPr>
        <w:pStyle w:val="18"/>
        <w:spacing w:line="520" w:lineRule="exact"/>
        <w:rPr>
          <w:rFonts w:hAnsi="宋体"/>
          <w:sz w:val="24"/>
          <w:szCs w:val="24"/>
        </w:rPr>
      </w:pPr>
      <w:r>
        <w:rPr>
          <w:rFonts w:hAnsi="宋体"/>
          <w:sz w:val="24"/>
          <w:szCs w:val="24"/>
        </w:rPr>
        <w:t xml:space="preserve">    16.3乙方破产或无清偿能力的，甲方有权在其认为合适的时间以书面形式通知乙方终止合同而不给乙方补偿。终止合同不损害或影响甲方已经采取或将采取的任何行动或补救措施的权利。</w:t>
      </w:r>
    </w:p>
    <w:p w14:paraId="07F9EA70">
      <w:pPr>
        <w:spacing w:line="520" w:lineRule="exact"/>
        <w:ind w:firstLine="470" w:firstLineChars="196"/>
        <w:outlineLvl w:val="0"/>
        <w:rPr>
          <w:rFonts w:ascii="宋体" w:hAnsi="宋体"/>
          <w:sz w:val="24"/>
          <w:szCs w:val="24"/>
        </w:rPr>
      </w:pPr>
      <w:r>
        <w:rPr>
          <w:rFonts w:ascii="宋体" w:hAnsi="宋体"/>
          <w:sz w:val="24"/>
          <w:szCs w:val="24"/>
        </w:rPr>
        <w:t>17、转让</w:t>
      </w:r>
    </w:p>
    <w:p w14:paraId="477CD1EF">
      <w:pPr>
        <w:pStyle w:val="18"/>
        <w:spacing w:line="520" w:lineRule="exact"/>
        <w:outlineLvl w:val="0"/>
        <w:rPr>
          <w:rFonts w:hAnsi="宋体"/>
          <w:sz w:val="24"/>
          <w:szCs w:val="24"/>
        </w:rPr>
      </w:pPr>
      <w:r>
        <w:rPr>
          <w:rFonts w:hAnsi="宋体"/>
          <w:sz w:val="24"/>
          <w:szCs w:val="24"/>
        </w:rPr>
        <w:t xml:space="preserve">    除甲方书面同意外，乙方不得转让其应履行的部分或全部合同义务。</w:t>
      </w:r>
    </w:p>
    <w:p w14:paraId="6AC2BB70">
      <w:pPr>
        <w:spacing w:line="520" w:lineRule="exact"/>
        <w:ind w:firstLine="470" w:firstLineChars="196"/>
        <w:outlineLvl w:val="0"/>
        <w:rPr>
          <w:rFonts w:ascii="宋体" w:hAnsi="宋体"/>
          <w:color w:val="000000"/>
          <w:sz w:val="24"/>
          <w:szCs w:val="24"/>
        </w:rPr>
      </w:pPr>
      <w:r>
        <w:rPr>
          <w:rFonts w:ascii="宋体" w:hAnsi="宋体"/>
          <w:color w:val="000000"/>
          <w:sz w:val="24"/>
          <w:szCs w:val="24"/>
        </w:rPr>
        <w:t>18、合同生效及其它</w:t>
      </w:r>
    </w:p>
    <w:p w14:paraId="4F94EF29">
      <w:pPr>
        <w:pStyle w:val="18"/>
        <w:spacing w:line="520" w:lineRule="exact"/>
        <w:rPr>
          <w:rFonts w:hAnsi="宋体"/>
          <w:color w:val="000000"/>
          <w:sz w:val="24"/>
          <w:szCs w:val="24"/>
        </w:rPr>
      </w:pPr>
      <w:r>
        <w:rPr>
          <w:rFonts w:hAnsi="宋体"/>
          <w:color w:val="000000"/>
          <w:sz w:val="24"/>
          <w:szCs w:val="24"/>
        </w:rPr>
        <w:t xml:space="preserve">    18.1本合同由甲方、乙方两方</w:t>
      </w:r>
      <w:r>
        <w:rPr>
          <w:rFonts w:hint="eastAsia" w:hAnsi="宋体"/>
          <w:color w:val="000000"/>
          <w:sz w:val="24"/>
          <w:szCs w:val="24"/>
        </w:rPr>
        <w:t>盖章</w:t>
      </w:r>
      <w:r>
        <w:rPr>
          <w:rFonts w:hAnsi="宋体"/>
          <w:color w:val="000000"/>
          <w:sz w:val="24"/>
          <w:szCs w:val="24"/>
        </w:rPr>
        <w:t>签字</w:t>
      </w:r>
      <w:r>
        <w:rPr>
          <w:rFonts w:hint="eastAsia" w:hAnsi="宋体"/>
          <w:color w:val="000000"/>
          <w:sz w:val="24"/>
          <w:szCs w:val="24"/>
        </w:rPr>
        <w:t>后生效</w:t>
      </w:r>
      <w:r>
        <w:rPr>
          <w:rFonts w:hAnsi="宋体"/>
          <w:color w:val="000000"/>
          <w:sz w:val="24"/>
          <w:szCs w:val="24"/>
        </w:rPr>
        <w:t>。</w:t>
      </w:r>
    </w:p>
    <w:p w14:paraId="64A6FA2C">
      <w:pPr>
        <w:pStyle w:val="18"/>
        <w:spacing w:line="520" w:lineRule="exact"/>
        <w:outlineLvl w:val="0"/>
        <w:rPr>
          <w:rFonts w:hAnsi="宋体"/>
          <w:color w:val="000000"/>
          <w:sz w:val="24"/>
          <w:szCs w:val="24"/>
        </w:rPr>
      </w:pPr>
      <w:r>
        <w:rPr>
          <w:rFonts w:hAnsi="宋体"/>
          <w:color w:val="000000"/>
          <w:sz w:val="24"/>
          <w:szCs w:val="24"/>
        </w:rPr>
        <w:t xml:space="preserve">    18.2 本合同一式四份，甲方、乙方各执二份。</w:t>
      </w:r>
    </w:p>
    <w:p w14:paraId="38DE0B5F">
      <w:pPr>
        <w:pStyle w:val="18"/>
        <w:spacing w:line="520" w:lineRule="exact"/>
        <w:outlineLvl w:val="0"/>
        <w:rPr>
          <w:rFonts w:hAnsi="宋体"/>
          <w:sz w:val="24"/>
          <w:szCs w:val="24"/>
        </w:rPr>
      </w:pPr>
      <w:r>
        <w:rPr>
          <w:rFonts w:hAnsi="宋体"/>
          <w:color w:val="000000"/>
          <w:sz w:val="24"/>
          <w:szCs w:val="24"/>
        </w:rPr>
        <w:t xml:space="preserve">    18.3修改或补充合同内容，经由甲方、乙方协商后，签署书面修改或补充协议。该协议将作为本合</w:t>
      </w:r>
      <w:r>
        <w:rPr>
          <w:rFonts w:hAnsi="宋体"/>
          <w:sz w:val="24"/>
          <w:szCs w:val="24"/>
        </w:rPr>
        <w:t>同不可分割的一部分。</w:t>
      </w:r>
    </w:p>
    <w:p w14:paraId="79D29FA4">
      <w:pPr>
        <w:pStyle w:val="18"/>
        <w:spacing w:line="520" w:lineRule="exact"/>
        <w:ind w:firstLine="480" w:firstLineChars="200"/>
        <w:rPr>
          <w:rFonts w:hAnsi="宋体"/>
          <w:sz w:val="24"/>
          <w:szCs w:val="24"/>
        </w:rPr>
      </w:pPr>
      <w:r>
        <w:rPr>
          <w:rFonts w:hAnsi="宋体"/>
          <w:sz w:val="24"/>
          <w:szCs w:val="24"/>
        </w:rPr>
        <w:t>18.4书面形式的通知和报告的接收人应是甲、乙双方法人代表或负责本合同履行的双方具体负责人，接收人应及时签收。接收人不履行该义务的，发送方可以使用邮寄将文本发送至对方地址，一旦邮寄成功即视为接收人已经收到。</w:t>
      </w:r>
    </w:p>
    <w:p w14:paraId="3D2109B5">
      <w:pPr>
        <w:pStyle w:val="18"/>
        <w:spacing w:line="520" w:lineRule="exact"/>
        <w:ind w:firstLine="480" w:firstLineChars="200"/>
        <w:rPr>
          <w:rFonts w:hAnsi="宋体"/>
          <w:sz w:val="24"/>
          <w:szCs w:val="24"/>
        </w:rPr>
      </w:pPr>
      <w:r>
        <w:rPr>
          <w:rFonts w:hAnsi="宋体"/>
          <w:sz w:val="24"/>
          <w:szCs w:val="24"/>
        </w:rPr>
        <w:t>18.</w:t>
      </w:r>
      <w:r>
        <w:rPr>
          <w:rFonts w:hint="eastAsia" w:hAnsi="宋体"/>
          <w:sz w:val="24"/>
          <w:szCs w:val="24"/>
        </w:rPr>
        <w:t>5</w:t>
      </w:r>
      <w:r>
        <w:rPr>
          <w:rFonts w:hAnsi="宋体"/>
          <w:sz w:val="24"/>
          <w:szCs w:val="24"/>
        </w:rPr>
        <w:t xml:space="preserve"> 本合同按照中华人民共和国现行法律进行解释。</w:t>
      </w:r>
    </w:p>
    <w:p w14:paraId="67649CAC">
      <w:pPr>
        <w:pStyle w:val="18"/>
        <w:spacing w:line="560" w:lineRule="exact"/>
        <w:outlineLvl w:val="0"/>
        <w:rPr>
          <w:rFonts w:hAnsi="宋体"/>
          <w:sz w:val="24"/>
          <w:szCs w:val="24"/>
        </w:rPr>
      </w:pPr>
    </w:p>
    <w:tbl>
      <w:tblPr>
        <w:tblStyle w:val="26"/>
        <w:tblW w:w="8409" w:type="dxa"/>
        <w:tblInd w:w="108" w:type="dxa"/>
        <w:tblLayout w:type="autofit"/>
        <w:tblCellMar>
          <w:top w:w="0" w:type="dxa"/>
          <w:left w:w="108" w:type="dxa"/>
          <w:bottom w:w="0" w:type="dxa"/>
          <w:right w:w="108" w:type="dxa"/>
        </w:tblCellMar>
      </w:tblPr>
      <w:tblGrid>
        <w:gridCol w:w="4111"/>
        <w:gridCol w:w="4298"/>
      </w:tblGrid>
      <w:tr w14:paraId="3A2DB541">
        <w:tblPrEx>
          <w:tblCellMar>
            <w:top w:w="0" w:type="dxa"/>
            <w:left w:w="108" w:type="dxa"/>
            <w:bottom w:w="0" w:type="dxa"/>
            <w:right w:w="108" w:type="dxa"/>
          </w:tblCellMar>
        </w:tblPrEx>
        <w:tc>
          <w:tcPr>
            <w:tcW w:w="4111" w:type="dxa"/>
            <w:noWrap w:val="0"/>
            <w:vAlign w:val="top"/>
          </w:tcPr>
          <w:p w14:paraId="56CB8FB0">
            <w:pPr>
              <w:pStyle w:val="18"/>
              <w:spacing w:line="520" w:lineRule="exact"/>
              <w:ind w:firstLine="480" w:firstLineChars="200"/>
              <w:rPr>
                <w:rFonts w:hint="eastAsia" w:hAnsi="宋体"/>
                <w:sz w:val="24"/>
                <w:szCs w:val="24"/>
              </w:rPr>
            </w:pPr>
            <w:r>
              <w:rPr>
                <w:rFonts w:hint="eastAsia" w:hAnsi="宋体"/>
                <w:sz w:val="24"/>
                <w:szCs w:val="24"/>
              </w:rPr>
              <w:t>甲方：江苏省淮安市保安服务有限公司</w:t>
            </w:r>
          </w:p>
          <w:p w14:paraId="7E4A9E09">
            <w:pPr>
              <w:pStyle w:val="18"/>
              <w:spacing w:line="520" w:lineRule="exact"/>
              <w:ind w:firstLine="480" w:firstLineChars="200"/>
              <w:rPr>
                <w:rFonts w:hint="eastAsia" w:hAnsi="宋体"/>
                <w:sz w:val="24"/>
                <w:szCs w:val="24"/>
              </w:rPr>
            </w:pPr>
          </w:p>
          <w:p w14:paraId="011A3276">
            <w:pPr>
              <w:pStyle w:val="18"/>
              <w:spacing w:line="520" w:lineRule="exact"/>
              <w:ind w:firstLine="480" w:firstLineChars="200"/>
              <w:rPr>
                <w:rFonts w:hint="eastAsia" w:hAnsi="宋体"/>
                <w:sz w:val="24"/>
                <w:szCs w:val="24"/>
              </w:rPr>
            </w:pPr>
            <w:r>
              <w:rPr>
                <w:rFonts w:hint="eastAsia" w:hAnsi="宋体"/>
                <w:sz w:val="24"/>
                <w:szCs w:val="24"/>
              </w:rPr>
              <w:t>地址：淮安市翔宇大道28号</w:t>
            </w:r>
          </w:p>
          <w:p w14:paraId="119C81DB">
            <w:pPr>
              <w:pStyle w:val="18"/>
              <w:spacing w:line="520" w:lineRule="exact"/>
              <w:ind w:firstLine="480" w:firstLineChars="200"/>
              <w:rPr>
                <w:rFonts w:hint="eastAsia" w:hAnsi="宋体"/>
                <w:sz w:val="24"/>
                <w:szCs w:val="24"/>
              </w:rPr>
            </w:pPr>
          </w:p>
          <w:p w14:paraId="7388B24B">
            <w:pPr>
              <w:pStyle w:val="18"/>
              <w:spacing w:line="520" w:lineRule="exact"/>
              <w:ind w:firstLine="480" w:firstLineChars="200"/>
              <w:rPr>
                <w:rFonts w:hint="eastAsia" w:hAnsi="宋体"/>
                <w:sz w:val="24"/>
                <w:szCs w:val="24"/>
              </w:rPr>
            </w:pPr>
            <w:r>
              <w:rPr>
                <w:rFonts w:hint="eastAsia" w:hAnsi="宋体"/>
                <w:sz w:val="24"/>
                <w:szCs w:val="24"/>
              </w:rPr>
              <w:t>法定代表人或项目负责人：</w:t>
            </w:r>
          </w:p>
          <w:p w14:paraId="4666AF21">
            <w:pPr>
              <w:pStyle w:val="18"/>
              <w:spacing w:line="520" w:lineRule="exact"/>
              <w:ind w:firstLine="480" w:firstLineChars="200"/>
              <w:rPr>
                <w:rFonts w:hint="eastAsia" w:hAnsi="宋体"/>
                <w:sz w:val="24"/>
                <w:szCs w:val="24"/>
              </w:rPr>
            </w:pPr>
          </w:p>
          <w:p w14:paraId="06E777A3">
            <w:pPr>
              <w:pStyle w:val="18"/>
              <w:spacing w:line="520" w:lineRule="exact"/>
              <w:ind w:firstLine="480" w:firstLineChars="200"/>
              <w:rPr>
                <w:rFonts w:hint="eastAsia" w:hAnsi="宋体"/>
                <w:sz w:val="24"/>
                <w:szCs w:val="24"/>
              </w:rPr>
            </w:pPr>
            <w:r>
              <w:rPr>
                <w:rFonts w:hint="eastAsia" w:hAnsi="宋体"/>
                <w:sz w:val="24"/>
                <w:szCs w:val="24"/>
              </w:rPr>
              <w:t xml:space="preserve">年    月    日  </w:t>
            </w:r>
          </w:p>
        </w:tc>
        <w:tc>
          <w:tcPr>
            <w:tcW w:w="4298" w:type="dxa"/>
            <w:noWrap w:val="0"/>
            <w:vAlign w:val="top"/>
          </w:tcPr>
          <w:p w14:paraId="6701C93A">
            <w:pPr>
              <w:pStyle w:val="18"/>
              <w:spacing w:line="520" w:lineRule="exact"/>
              <w:ind w:firstLine="480" w:firstLineChars="200"/>
              <w:rPr>
                <w:rFonts w:hint="eastAsia" w:hAnsi="宋体"/>
                <w:sz w:val="24"/>
                <w:szCs w:val="24"/>
              </w:rPr>
            </w:pPr>
            <w:r>
              <w:rPr>
                <w:rFonts w:hint="eastAsia" w:hAnsi="宋体"/>
                <w:sz w:val="24"/>
                <w:szCs w:val="24"/>
              </w:rPr>
              <w:t>乙方：</w:t>
            </w:r>
          </w:p>
          <w:p w14:paraId="66458403">
            <w:pPr>
              <w:pStyle w:val="18"/>
              <w:spacing w:line="520" w:lineRule="exact"/>
              <w:ind w:firstLine="480" w:firstLineChars="200"/>
              <w:rPr>
                <w:rFonts w:hint="eastAsia" w:hAnsi="宋体"/>
                <w:sz w:val="24"/>
                <w:szCs w:val="24"/>
              </w:rPr>
            </w:pPr>
          </w:p>
          <w:p w14:paraId="6735FBC8">
            <w:pPr>
              <w:pStyle w:val="18"/>
              <w:spacing w:line="520" w:lineRule="exact"/>
              <w:ind w:firstLine="480" w:firstLineChars="200"/>
              <w:rPr>
                <w:rFonts w:hint="eastAsia" w:hAnsi="宋体"/>
                <w:sz w:val="24"/>
                <w:szCs w:val="24"/>
              </w:rPr>
            </w:pPr>
          </w:p>
          <w:p w14:paraId="32EF418C">
            <w:pPr>
              <w:pStyle w:val="18"/>
              <w:spacing w:line="520" w:lineRule="exact"/>
              <w:ind w:firstLine="480" w:firstLineChars="200"/>
              <w:rPr>
                <w:rFonts w:hint="eastAsia" w:hAnsi="宋体"/>
                <w:sz w:val="24"/>
                <w:szCs w:val="24"/>
              </w:rPr>
            </w:pPr>
            <w:r>
              <w:rPr>
                <w:rFonts w:hint="eastAsia" w:hAnsi="宋体"/>
                <w:sz w:val="24"/>
                <w:szCs w:val="24"/>
              </w:rPr>
              <w:t>地址：</w:t>
            </w:r>
          </w:p>
          <w:p w14:paraId="56562ADD">
            <w:pPr>
              <w:pStyle w:val="18"/>
              <w:spacing w:line="520" w:lineRule="exact"/>
              <w:ind w:firstLine="480" w:firstLineChars="200"/>
              <w:rPr>
                <w:rFonts w:hint="eastAsia" w:hAnsi="宋体"/>
                <w:sz w:val="24"/>
                <w:szCs w:val="24"/>
              </w:rPr>
            </w:pPr>
          </w:p>
          <w:p w14:paraId="0B58659D">
            <w:pPr>
              <w:pStyle w:val="18"/>
              <w:spacing w:line="520" w:lineRule="exact"/>
              <w:ind w:firstLine="480" w:firstLineChars="200"/>
              <w:rPr>
                <w:rFonts w:hint="eastAsia" w:hAnsi="宋体"/>
                <w:sz w:val="24"/>
                <w:szCs w:val="24"/>
              </w:rPr>
            </w:pPr>
            <w:r>
              <w:rPr>
                <w:rFonts w:hint="eastAsia" w:hAnsi="宋体"/>
                <w:sz w:val="24"/>
                <w:szCs w:val="24"/>
              </w:rPr>
              <w:t>法定代表人或项目负责人：</w:t>
            </w:r>
          </w:p>
          <w:p w14:paraId="1525EA65">
            <w:pPr>
              <w:pStyle w:val="18"/>
              <w:spacing w:line="520" w:lineRule="exact"/>
              <w:ind w:firstLine="480" w:firstLineChars="200"/>
              <w:rPr>
                <w:rFonts w:hint="eastAsia" w:hAnsi="宋体"/>
                <w:sz w:val="24"/>
                <w:szCs w:val="24"/>
              </w:rPr>
            </w:pPr>
          </w:p>
          <w:p w14:paraId="5E7B056C">
            <w:pPr>
              <w:pStyle w:val="18"/>
              <w:spacing w:line="520" w:lineRule="exact"/>
              <w:ind w:firstLine="480" w:firstLineChars="200"/>
              <w:rPr>
                <w:rFonts w:hint="eastAsia" w:hAnsi="宋体"/>
                <w:sz w:val="24"/>
                <w:szCs w:val="24"/>
              </w:rPr>
            </w:pPr>
            <w:r>
              <w:rPr>
                <w:rFonts w:hint="eastAsia" w:hAnsi="宋体"/>
                <w:sz w:val="24"/>
                <w:szCs w:val="24"/>
              </w:rPr>
              <w:t xml:space="preserve">         年    月   日</w:t>
            </w:r>
          </w:p>
        </w:tc>
      </w:tr>
    </w:tbl>
    <w:p w14:paraId="63140D4A">
      <w:pPr>
        <w:pStyle w:val="18"/>
        <w:spacing w:line="560" w:lineRule="exact"/>
        <w:outlineLvl w:val="0"/>
        <w:rPr>
          <w:rFonts w:hint="eastAsia" w:hAnsi="宋体"/>
          <w:sz w:val="28"/>
          <w:szCs w:val="28"/>
        </w:rPr>
      </w:pPr>
    </w:p>
    <w:p w14:paraId="7DF2B05E">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1B509">
    <w:pPr>
      <w:pStyle w:val="20"/>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ED60CA">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2ED60CA">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106E18">
                          <w:pPr>
                            <w:pStyle w:val="20"/>
                            <w:rPr>
                              <w:rStyle w:val="29"/>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3106E18">
                    <w:pPr>
                      <w:pStyle w:val="20"/>
                      <w:rPr>
                        <w:rStyle w:val="29"/>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3"/>
      <w:isLgl/>
      <w:lvlText w:val="%1.%2."/>
      <w:lvlJc w:val="left"/>
      <w:pPr>
        <w:ind w:left="567" w:hanging="567"/>
      </w:pPr>
      <w:rPr>
        <w:rFonts w:hint="eastAsia" w:ascii="宋体" w:hAnsi="宋体" w:eastAsia="宋体" w:cs="宋体"/>
      </w:rPr>
    </w:lvl>
    <w:lvl w:ilvl="2" w:tentative="0">
      <w:start w:val="1"/>
      <w:numFmt w:val="decimal"/>
      <w:pStyle w:val="4"/>
      <w:isLgl/>
      <w:lvlText w:val="%1.%2.%3."/>
      <w:lvlJc w:val="left"/>
      <w:pPr>
        <w:ind w:left="709" w:hanging="709"/>
      </w:pPr>
      <w:rPr>
        <w:rFonts w:hint="eastAsia" w:ascii="宋体" w:hAnsi="宋体" w:eastAsia="宋体" w:cs="宋体"/>
      </w:rPr>
    </w:lvl>
    <w:lvl w:ilvl="3" w:tentative="0">
      <w:start w:val="1"/>
      <w:numFmt w:val="decimal"/>
      <w:pStyle w:val="5"/>
      <w:isLgl/>
      <w:lvlText w:val="%1.%2.%3.%4."/>
      <w:lvlJc w:val="left"/>
      <w:pPr>
        <w:ind w:left="850" w:hanging="850"/>
      </w:pPr>
      <w:rPr>
        <w:rFonts w:hint="eastAsia" w:ascii="宋体" w:hAnsi="宋体" w:eastAsia="宋体" w:cs="宋体"/>
      </w:rPr>
    </w:lvl>
    <w:lvl w:ilvl="4" w:tentative="0">
      <w:start w:val="1"/>
      <w:numFmt w:val="decimal"/>
      <w:pStyle w:val="6"/>
      <w:isLgl/>
      <w:lvlText w:val="%1.%2.%3.%4.%5."/>
      <w:lvlJc w:val="left"/>
      <w:pPr>
        <w:ind w:left="991" w:hanging="991"/>
      </w:pPr>
      <w:rPr>
        <w:rFonts w:hint="eastAsia" w:ascii="宋体" w:hAnsi="宋体" w:eastAsia="宋体" w:cs="宋体"/>
      </w:rPr>
    </w:lvl>
    <w:lvl w:ilvl="5" w:tentative="0">
      <w:start w:val="1"/>
      <w:numFmt w:val="decimal"/>
      <w:pStyle w:val="7"/>
      <w:isLgl/>
      <w:lvlText w:val="%1.%2.%3.%4.%5.%6."/>
      <w:lvlJc w:val="left"/>
      <w:pPr>
        <w:ind w:left="1134" w:hanging="1134"/>
      </w:pPr>
      <w:rPr>
        <w:rFonts w:hint="eastAsia" w:ascii="宋体" w:hAnsi="宋体" w:eastAsia="宋体" w:cs="宋体"/>
      </w:rPr>
    </w:lvl>
    <w:lvl w:ilvl="6" w:tentative="0">
      <w:start w:val="1"/>
      <w:numFmt w:val="decimal"/>
      <w:pStyle w:val="8"/>
      <w:isLgl/>
      <w:lvlText w:val="%1.%2.%3.%4.%5.%6.%7."/>
      <w:lvlJc w:val="left"/>
      <w:pPr>
        <w:ind w:left="1275" w:hanging="1275"/>
      </w:pPr>
      <w:rPr>
        <w:rFonts w:hint="eastAsia" w:ascii="宋体" w:hAnsi="宋体" w:eastAsia="宋体" w:cs="宋体"/>
      </w:rPr>
    </w:lvl>
    <w:lvl w:ilvl="7" w:tentative="0">
      <w:start w:val="1"/>
      <w:numFmt w:val="decimal"/>
      <w:pStyle w:val="9"/>
      <w:isLgl/>
      <w:lvlText w:val="%1.%2.%3.%4.%5.%6.%7.%8."/>
      <w:lvlJc w:val="left"/>
      <w:pPr>
        <w:ind w:left="1418" w:hanging="1418"/>
      </w:pPr>
      <w:rPr>
        <w:rFonts w:hint="eastAsia" w:ascii="宋体" w:hAnsi="宋体" w:eastAsia="宋体" w:cs="宋体"/>
      </w:rPr>
    </w:lvl>
    <w:lvl w:ilvl="8" w:tentative="0">
      <w:start w:val="1"/>
      <w:numFmt w:val="decimal"/>
      <w:pStyle w:val="10"/>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2BD280C"/>
    <w:rsid w:val="06E65ABA"/>
    <w:rsid w:val="082F30B8"/>
    <w:rsid w:val="0BC2638F"/>
    <w:rsid w:val="0D78696A"/>
    <w:rsid w:val="0DBF30C4"/>
    <w:rsid w:val="100159F1"/>
    <w:rsid w:val="15690030"/>
    <w:rsid w:val="15B405D8"/>
    <w:rsid w:val="17F03948"/>
    <w:rsid w:val="193251CA"/>
    <w:rsid w:val="1C3E1701"/>
    <w:rsid w:val="1CBB157E"/>
    <w:rsid w:val="1F741D8C"/>
    <w:rsid w:val="1FC0011B"/>
    <w:rsid w:val="20524FFE"/>
    <w:rsid w:val="239C7D86"/>
    <w:rsid w:val="250D2B25"/>
    <w:rsid w:val="25DE44B5"/>
    <w:rsid w:val="264801BD"/>
    <w:rsid w:val="2B9E5DD1"/>
    <w:rsid w:val="2E1B2848"/>
    <w:rsid w:val="2E625B5C"/>
    <w:rsid w:val="300D6BCC"/>
    <w:rsid w:val="314B6B7C"/>
    <w:rsid w:val="373021B1"/>
    <w:rsid w:val="38A60155"/>
    <w:rsid w:val="3D5B5D70"/>
    <w:rsid w:val="3D972B19"/>
    <w:rsid w:val="3DBB7856"/>
    <w:rsid w:val="40507796"/>
    <w:rsid w:val="46231EF7"/>
    <w:rsid w:val="464943C9"/>
    <w:rsid w:val="46AE2EAA"/>
    <w:rsid w:val="4A0E06F8"/>
    <w:rsid w:val="4BB038DA"/>
    <w:rsid w:val="4D1663BC"/>
    <w:rsid w:val="4D407FCA"/>
    <w:rsid w:val="4D5932DD"/>
    <w:rsid w:val="4DD11F09"/>
    <w:rsid w:val="50076B1F"/>
    <w:rsid w:val="50417986"/>
    <w:rsid w:val="52845C1D"/>
    <w:rsid w:val="54457DE3"/>
    <w:rsid w:val="558E406A"/>
    <w:rsid w:val="57DB3B40"/>
    <w:rsid w:val="58416D91"/>
    <w:rsid w:val="596D654F"/>
    <w:rsid w:val="5BBF6D32"/>
    <w:rsid w:val="61852A60"/>
    <w:rsid w:val="62074C63"/>
    <w:rsid w:val="68112FCA"/>
    <w:rsid w:val="69FD1FFD"/>
    <w:rsid w:val="6B674346"/>
    <w:rsid w:val="6BB31049"/>
    <w:rsid w:val="6C5C393C"/>
    <w:rsid w:val="6D8F37DC"/>
    <w:rsid w:val="71E07B02"/>
    <w:rsid w:val="721001E1"/>
    <w:rsid w:val="74CE2BD7"/>
    <w:rsid w:val="7510601B"/>
    <w:rsid w:val="76973691"/>
    <w:rsid w:val="76C0511E"/>
    <w:rsid w:val="76F26880"/>
    <w:rsid w:val="78770D22"/>
    <w:rsid w:val="7DCD6B2C"/>
    <w:rsid w:val="7E37366F"/>
    <w:rsid w:val="7EEA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1"/>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3">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4">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5">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6">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7">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9">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11">
    <w:name w:val="Normal Indent"/>
    <w:basedOn w:val="1"/>
    <w:next w:val="1"/>
    <w:autoRedefine/>
    <w:qFormat/>
    <w:uiPriority w:val="0"/>
    <w:pPr>
      <w:ind w:firstLine="420" w:firstLineChars="200"/>
    </w:pPr>
    <w:rPr>
      <w:rFonts w:ascii="Times New Roman" w:hAnsi="Times New Roman" w:eastAsia="宋体" w:cs="Times New Roman"/>
      <w:sz w:val="24"/>
      <w:szCs w:val="24"/>
    </w:rPr>
  </w:style>
  <w:style w:type="paragraph" w:styleId="12">
    <w:name w:val="toa heading"/>
    <w:basedOn w:val="1"/>
    <w:next w:val="1"/>
    <w:autoRedefine/>
    <w:qFormat/>
    <w:uiPriority w:val="0"/>
    <w:pPr>
      <w:spacing w:before="120"/>
    </w:pPr>
    <w:rPr>
      <w:rFonts w:ascii="Arial" w:hAnsi="Arial"/>
      <w:sz w:val="24"/>
    </w:rPr>
  </w:style>
  <w:style w:type="paragraph" w:styleId="13">
    <w:name w:val="annotation text"/>
    <w:basedOn w:val="1"/>
    <w:qFormat/>
    <w:uiPriority w:val="0"/>
    <w:pPr>
      <w:jc w:val="left"/>
    </w:pPr>
  </w:style>
  <w:style w:type="paragraph" w:styleId="14">
    <w:name w:val="Body Text"/>
    <w:basedOn w:val="1"/>
    <w:next w:val="15"/>
    <w:autoRedefine/>
    <w:unhideWhenUsed/>
    <w:qFormat/>
    <w:uiPriority w:val="99"/>
    <w:pPr>
      <w:spacing w:after="120"/>
    </w:pPr>
    <w:rPr>
      <w:sz w:val="28"/>
    </w:rPr>
  </w:style>
  <w:style w:type="paragraph" w:styleId="15">
    <w:name w:val="Body Text First Indent"/>
    <w:basedOn w:val="1"/>
    <w:next w:val="16"/>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16">
    <w:name w:val="Body Text First Indent 2"/>
    <w:basedOn w:val="17"/>
    <w:next w:val="1"/>
    <w:autoRedefine/>
    <w:qFormat/>
    <w:uiPriority w:val="99"/>
  </w:style>
  <w:style w:type="paragraph" w:styleId="17">
    <w:name w:val="Body Text Indent"/>
    <w:basedOn w:val="1"/>
    <w:autoRedefine/>
    <w:qFormat/>
    <w:uiPriority w:val="99"/>
    <w:pPr>
      <w:spacing w:after="120"/>
      <w:ind w:left="420" w:leftChars="200"/>
    </w:pPr>
  </w:style>
  <w:style w:type="paragraph" w:styleId="18">
    <w:name w:val="Plain Text"/>
    <w:basedOn w:val="1"/>
    <w:autoRedefine/>
    <w:unhideWhenUsed/>
    <w:qFormat/>
    <w:uiPriority w:val="0"/>
    <w:rPr>
      <w:rFonts w:ascii="宋体" w:hAnsi="Courier New"/>
      <w:szCs w:val="20"/>
    </w:rPr>
  </w:style>
  <w:style w:type="paragraph" w:styleId="19">
    <w:name w:val="Body Text Indent 2"/>
    <w:basedOn w:val="1"/>
    <w:autoRedefine/>
    <w:qFormat/>
    <w:uiPriority w:val="0"/>
    <w:pPr>
      <w:spacing w:line="360" w:lineRule="auto"/>
      <w:ind w:firstLine="420"/>
    </w:pPr>
    <w:rPr>
      <w:sz w:val="24"/>
    </w:rPr>
  </w:style>
  <w:style w:type="paragraph" w:styleId="20">
    <w:name w:val="footer"/>
    <w:basedOn w:val="1"/>
    <w:autoRedefine/>
    <w:qFormat/>
    <w:uiPriority w:val="0"/>
    <w:pPr>
      <w:tabs>
        <w:tab w:val="center" w:pos="4153"/>
        <w:tab w:val="right" w:pos="8306"/>
      </w:tabs>
      <w:snapToGrid w:val="0"/>
      <w:jc w:val="left"/>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Body Text Indent 3"/>
    <w:basedOn w:val="1"/>
    <w:autoRedefine/>
    <w:qFormat/>
    <w:uiPriority w:val="0"/>
    <w:pPr>
      <w:spacing w:line="300" w:lineRule="auto"/>
      <w:ind w:left="659" w:leftChars="314" w:firstLine="420" w:firstLineChars="200"/>
    </w:pPr>
    <w:rPr>
      <w:rFonts w:ascii="宋体" w:hAnsi="宋体"/>
    </w:rPr>
  </w:style>
  <w:style w:type="paragraph" w:styleId="23">
    <w:name w:val="toc 2"/>
    <w:basedOn w:val="1"/>
    <w:next w:val="1"/>
    <w:autoRedefine/>
    <w:qFormat/>
    <w:uiPriority w:val="1"/>
    <w:pPr>
      <w:ind w:left="596"/>
    </w:pPr>
    <w:rPr>
      <w:rFonts w:ascii="宋体" w:hAnsi="宋体" w:eastAsia="宋体"/>
      <w:sz w:val="24"/>
      <w:szCs w:val="24"/>
    </w:rPr>
  </w:style>
  <w:style w:type="paragraph" w:styleId="24">
    <w:name w:val="Normal (Web)"/>
    <w:basedOn w:val="1"/>
    <w:autoRedefine/>
    <w:qFormat/>
    <w:uiPriority w:val="0"/>
    <w:rPr>
      <w:sz w:val="24"/>
    </w:rPr>
  </w:style>
  <w:style w:type="paragraph" w:styleId="25">
    <w:name w:val="Title"/>
    <w:basedOn w:val="23"/>
    <w:next w:val="1"/>
    <w:autoRedefine/>
    <w:qFormat/>
    <w:uiPriority w:val="0"/>
    <w:pPr>
      <w:spacing w:before="240" w:beforeLines="0" w:beforeAutospacing="0" w:after="60" w:afterLines="0" w:afterAutospacing="0"/>
      <w:jc w:val="center"/>
      <w:outlineLvl w:val="0"/>
    </w:pPr>
    <w:rPr>
      <w:rFonts w:ascii="Arial" w:hAnsi="Arial"/>
      <w:b/>
      <w:sz w:val="32"/>
    </w:r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style>
  <w:style w:type="character" w:styleId="30">
    <w:name w:val="Hyperlink"/>
    <w:basedOn w:val="28"/>
    <w:autoRedefine/>
    <w:qFormat/>
    <w:uiPriority w:val="0"/>
    <w:rPr>
      <w:color w:val="0000FF"/>
      <w:u w:val="single"/>
    </w:rPr>
  </w:style>
  <w:style w:type="paragraph" w:customStyle="1" w:styleId="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3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34">
    <w:name w:val="font11"/>
    <w:basedOn w:val="28"/>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5">
    <w:name w:val="font21"/>
    <w:basedOn w:val="28"/>
    <w:autoRedefine/>
    <w:qFormat/>
    <w:uiPriority w:val="0"/>
    <w:rPr>
      <w:rFonts w:hint="eastAsia" w:ascii="宋体" w:hAnsi="宋体" w:eastAsia="宋体" w:cs="宋体"/>
      <w:color w:val="000000"/>
      <w:sz w:val="24"/>
      <w:szCs w:val="24"/>
      <w:u w:val="none"/>
    </w:rPr>
  </w:style>
  <w:style w:type="character" w:customStyle="1" w:styleId="36">
    <w:name w:val="font91"/>
    <w:basedOn w:val="28"/>
    <w:autoRedefine/>
    <w:qFormat/>
    <w:uiPriority w:val="0"/>
    <w:rPr>
      <w:rFonts w:hint="eastAsia" w:ascii="宋体" w:hAnsi="宋体" w:eastAsia="宋体" w:cs="宋体"/>
      <w:color w:val="000000"/>
      <w:sz w:val="24"/>
      <w:szCs w:val="24"/>
      <w:u w:val="single"/>
    </w:rPr>
  </w:style>
  <w:style w:type="character" w:customStyle="1" w:styleId="37">
    <w:name w:val="font81"/>
    <w:basedOn w:val="28"/>
    <w:autoRedefine/>
    <w:qFormat/>
    <w:uiPriority w:val="0"/>
    <w:rPr>
      <w:rFonts w:hint="eastAsia" w:ascii="黑体" w:hAnsi="宋体" w:eastAsia="黑体" w:cs="黑体"/>
      <w:color w:val="000000"/>
      <w:sz w:val="24"/>
      <w:szCs w:val="24"/>
      <w:u w:val="none"/>
    </w:rPr>
  </w:style>
  <w:style w:type="character" w:customStyle="1" w:styleId="38">
    <w:name w:val="font71"/>
    <w:basedOn w:val="28"/>
    <w:autoRedefine/>
    <w:qFormat/>
    <w:uiPriority w:val="0"/>
    <w:rPr>
      <w:rFonts w:hint="eastAsia" w:ascii="黑体" w:hAnsi="宋体" w:eastAsia="黑体" w:cs="黑体"/>
      <w:color w:val="FF0000"/>
      <w:sz w:val="24"/>
      <w:szCs w:val="24"/>
      <w:u w:val="none"/>
    </w:rPr>
  </w:style>
  <w:style w:type="character" w:customStyle="1" w:styleId="39">
    <w:name w:val="font101"/>
    <w:basedOn w:val="28"/>
    <w:autoRedefine/>
    <w:qFormat/>
    <w:uiPriority w:val="0"/>
    <w:rPr>
      <w:rFonts w:hint="eastAsia" w:ascii="宋体" w:hAnsi="宋体" w:eastAsia="宋体" w:cs="宋体"/>
      <w:color w:val="FF0000"/>
      <w:sz w:val="20"/>
      <w:szCs w:val="20"/>
      <w:u w:val="none"/>
    </w:rPr>
  </w:style>
  <w:style w:type="character" w:customStyle="1" w:styleId="40">
    <w:name w:val="font61"/>
    <w:basedOn w:val="28"/>
    <w:autoRedefine/>
    <w:qFormat/>
    <w:uiPriority w:val="0"/>
    <w:rPr>
      <w:rFonts w:hint="eastAsia" w:ascii="宋体" w:hAnsi="宋体" w:eastAsia="宋体" w:cs="宋体"/>
      <w:color w:val="000000"/>
      <w:sz w:val="20"/>
      <w:szCs w:val="20"/>
      <w:u w:val="none"/>
    </w:rPr>
  </w:style>
  <w:style w:type="character" w:customStyle="1" w:styleId="41">
    <w:name w:val="font112"/>
    <w:basedOn w:val="28"/>
    <w:autoRedefine/>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3511</Words>
  <Characters>3565</Characters>
  <Lines>0</Lines>
  <Paragraphs>0</Paragraphs>
  <TotalTime>7</TotalTime>
  <ScaleCrop>false</ScaleCrop>
  <LinksUpToDate>false</LinksUpToDate>
  <CharactersWithSpaces>4127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2023-12-12T07:57:00Z</cp:lastPrinted>
  <dcterms:modified xsi:type="dcterms:W3CDTF">2024-11-02T08:10:07Z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8CEB72924B124576B0B7509DAA853A55_13</vt:lpwstr>
  </property>
</Properties>
</file>