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电脑</w:t>
      </w:r>
      <w:r>
        <w:rPr>
          <w:rFonts w:hint="eastAsia" w:ascii="宋体" w:hAnsi="宋体" w:eastAsia="宋体" w:cs="宋体"/>
          <w:b/>
          <w:bCs w:val="0"/>
          <w:i w:val="0"/>
          <w:iCs w:val="0"/>
          <w:color w:val="000000"/>
          <w:kern w:val="0"/>
          <w:sz w:val="48"/>
          <w:szCs w:val="48"/>
          <w:u w:val="none"/>
          <w:lang w:val="en-US" w:eastAsia="zh-CN" w:bidi="ar"/>
        </w:rPr>
        <w:t>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 xml:space="preserve">2.4、供应商代理证明或原厂授权。(原厂直接参与无需提供此项) </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727"/>
        <w:gridCol w:w="4514"/>
        <w:gridCol w:w="725"/>
        <w:gridCol w:w="1007"/>
        <w:gridCol w:w="992"/>
        <w:gridCol w:w="262"/>
        <w:gridCol w:w="1457"/>
        <w:gridCol w:w="1532"/>
        <w:gridCol w:w="8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3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p>
        </w:tc>
        <w:tc>
          <w:tcPr>
            <w:tcW w:w="1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54"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54"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5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5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86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台式计算机</w:t>
            </w:r>
            <w:r>
              <w:rPr>
                <w:rFonts w:hint="eastAsia" w:ascii="宋体" w:hAnsi="宋体"/>
                <w:sz w:val="22"/>
                <w:szCs w:val="22"/>
                <w:lang w:val="en-US" w:eastAsia="zh-CN"/>
              </w:rPr>
              <w:br w:type="textWrapping"/>
            </w:r>
            <w:r>
              <w:rPr>
                <w:rFonts w:hint="eastAsia" w:ascii="宋体" w:hAnsi="宋体"/>
                <w:sz w:val="22"/>
                <w:szCs w:val="22"/>
                <w:lang w:val="en-US" w:eastAsia="zh-CN"/>
              </w:rPr>
              <w:t>（学生机）</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品牌：Unis，详见技术参数</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台</w:t>
            </w:r>
          </w:p>
        </w:tc>
        <w:tc>
          <w:tcPr>
            <w:tcW w:w="1254"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500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台式计算机</w:t>
            </w:r>
            <w:r>
              <w:rPr>
                <w:rFonts w:hint="eastAsia" w:ascii="宋体" w:hAnsi="宋体"/>
                <w:sz w:val="22"/>
                <w:szCs w:val="22"/>
                <w:lang w:val="en-US" w:eastAsia="zh-CN"/>
              </w:rPr>
              <w:br w:type="textWrapping"/>
            </w:r>
            <w:r>
              <w:rPr>
                <w:rFonts w:hint="eastAsia" w:ascii="宋体" w:hAnsi="宋体"/>
                <w:sz w:val="22"/>
                <w:szCs w:val="22"/>
                <w:lang w:val="en-US" w:eastAsia="zh-CN"/>
              </w:rPr>
              <w:t>（教师机）</w:t>
            </w:r>
          </w:p>
        </w:tc>
        <w:tc>
          <w:tcPr>
            <w:tcW w:w="523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品牌：Unis，详见技术参数</w:t>
            </w:r>
          </w:p>
        </w:tc>
        <w:tc>
          <w:tcPr>
            <w:tcW w:w="100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台</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30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3</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bookmarkStart w:id="0" w:name="_GoBack"/>
            <w:bookmarkEnd w:id="0"/>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3年</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1"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20工作日</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黑体" w:hAnsi="宋体" w:eastAsia="黑体" w:cs="黑体"/>
                <w:i w:val="0"/>
                <w:iCs w:val="0"/>
                <w:color w:val="FF0000"/>
                <w:sz w:val="24"/>
                <w:szCs w:val="24"/>
                <w:u w:val="none"/>
                <w:lang w:val="en-US" w:eastAsia="zh-CN"/>
              </w:rPr>
              <w:t>合同签订后预付合同金额的10%，设备到货安装验收合格后3个月内付清余款。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tbl>
      <w:tblPr>
        <w:tblStyle w:val="24"/>
        <w:tblW w:w="93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6" w:type="dxa"/>
          <w:left w:w="108" w:type="dxa"/>
          <w:bottom w:w="0" w:type="dxa"/>
          <w:right w:w="19" w:type="dxa"/>
        </w:tblCellMar>
      </w:tblPr>
      <w:tblGrid>
        <w:gridCol w:w="639"/>
        <w:gridCol w:w="132"/>
        <w:gridCol w:w="1314"/>
        <w:gridCol w:w="1578"/>
        <w:gridCol w:w="2298"/>
        <w:gridCol w:w="33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466" w:hRule="atLeast"/>
          <w:jc w:val="center"/>
        </w:trPr>
        <w:tc>
          <w:tcPr>
            <w:tcW w:w="771"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序号</w:t>
            </w:r>
          </w:p>
        </w:tc>
        <w:tc>
          <w:tcPr>
            <w:tcW w:w="1314"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指标分类</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一级指标</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二级指标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指标要求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466" w:hRule="atLeast"/>
          <w:jc w:val="center"/>
        </w:trPr>
        <w:tc>
          <w:tcPr>
            <w:tcW w:w="9337" w:type="dxa"/>
            <w:gridSpan w:val="6"/>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台式计算机（学生机）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 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CPU信息</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国产 C86 架构 CPU，通道数≥2，热设计功耗≤65W，位宽≥64bit;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内存配置容量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★≥16GB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支持DDR4/LPDDR4/LPDDR4X及以上内存类型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55"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内存条配置数量（板载内存不涉及）</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主板集成模块</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集成资源扩展模块、计算处理模块、音频扩展模块等，主板的互联拓扑可通过处理器或交换电路实现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主板支持的CPU 和内存情况</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支持DDR4-3200内存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主板内置</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PCIe插槽数量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支持PCIe插槽数量不少于2个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6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特殊孔位及接口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预留满足USB3.0数据传输规范的接口，工作电压5V，最大过电流应不小于3A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主板其他内置接口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≥1个M.2 SSD接口；≥4个SATA3接口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单内存插槽最大可支持容量（板载内存不涉及）</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内存插槽满配时提供的最高内存总容量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≥16GB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492"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存储设备规格</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固态盘数量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固态存储容量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★≥512GB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机械硬盘总容量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机械硬盘转速</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本项目不涉及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76"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机械硬盘形态</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本项目不涉及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固态存储形态</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采用插卡或板载等形态，可选用符合 M.2或2.5寸SATA或mSATA等标准的插卡形态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存储设备其他参数要求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a)固态盘应符合SJ/T 11654相关规定；</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b)机械硬盘准备时间应不大于30s；侧面固定螺丝孔数量可为4孔或6孔；工作状态环境温度应满足5℃~55℃；其它参数应符合GB/T 12628相关规定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4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独立显卡显存类型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若配置独立显卡，显存类型应为</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DDR3/DDR4/GDDR5/GDDR6/LPDDR4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独立显卡显存位宽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显存位宽≥64位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独立显卡显存容量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★配置独立显卡，显存容量≥2GB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6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独立显卡接口协议</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支持PCIe协议版本大于等于2.0或HT</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（HyperTransport）协议版本大于等于3.0的独立显卡接口协议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显示设备规格</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显示屏屏占比</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显示屏分辨率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≥1920x1080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显示屏像素密度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≥85像素/英寸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显示屏可视角度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水平≥170°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显示屏尺寸</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≥21英寸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显示屏屏幕比例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16:9/3:2/21:9/16:10等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显示器外观颜色</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黑色/白色/银色等商务色系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显示屏防蓝光</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▲支持防蓝光模式，蓝光加权辐射亮度比应≤0.0012W/(·cd·sr)（瓦每坎特拉每球面度）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显示屏低频闪</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显示屏应支持低频闪≤-35dB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4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显示屏防炫目</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显示屏镜面反射率≤10%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键盘按键数目</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61键/86键/101键/104键等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键盘连接方式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有线或无线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17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键盘键程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2.3mm ~ 4.0mm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键盘按键压力</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按键压力应在0.54 N±0.14N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有线键盘连接线</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键盘颜色</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黑色/白色/银色等商务色系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键盘其他要求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键盘外观结构、连接方式、主要功能、安全、电磁兼容性、可靠性应符合GB/T14081的相关规定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鼠标连接方式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有线或无线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有线鼠标连接线</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1"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鼠标DPI 分辨率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800~1600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鼠标颜色</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黑色/银色/白色等商务色系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鼠标其他要求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★鼠标其它参数应符合GB/T 26245的相关规定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内置光驱</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支持内置光驱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4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网络设备规格</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有线网卡数量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无线网卡及天线数量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44"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单无线网卡天线数量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2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外部接口规格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USB接口数量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前面板应提供不少于 4 个 USB接口；</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后面板提供不少于4个USB接口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视频接口数量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音频接口数量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提供前置2个音频接口，后置3个音频接口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存储卡接口数量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整机基础规格</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整机外观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 产品表面不应有凹痕、划伤、裂缝、变形和污染等。表面涂层均匀，不应起泡、龟裂、脱落和磨损，金属零部件无锈蚀及其它机械损伤； b) 产品表面说明功能的文字、符号、标志，应清晰、端正、牢固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状态指示灯</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在产品显著位置提供状态指示功能，如运行状态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整机结构</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 机箱应符合GB/T4208、GB/T26246 的相关规定； b) 产品内部结构应符合通用部件的安装需求； c) 所有输入输出接口应符合相关国家或行业标准； d) 产品零部件应紧固无松动，可插拔部件应可靠连接，开关、按钮和其它控制部件应灵活可靠，布局应方便使用； e) 所有I/O连接器及需插接线缆的部位应预留采购人操作空间，方便插拔解锁与插拔线缆； f) 可插拔板卡插槽部位应预留安装、拆卸或更换板卡空间； g) 拆装可能接触到的金属剪口或金属尖角部位应做防划伤处理，以保证安全； h) 整机内部走线应规整，固线结构和位置要合理可靠并做防割线处理，需便于理线和插拔操作，走线应不影响系统各主要部件组装和拆卸； i) 如需通过孔走线，过线孔应做防割线处理； j) 各插头位置和插拔方向应合理，应做到插拔无障碍设计，具备防呆设计，有效避免误操作； k) 各主要部件拆装无障碍，使用常规工具拆装，无特殊拆装工具需求； l) 各主要部件拆装步骤要少，各自拆装需避免相互干扰； m) 对于整机或零部件外表面为高亮面的，应粘贴保护膜，保护膜需粘贴牢固，运输、组装等过程不易脱落，撕下无残留；n) 其它要求应符合GB/T 9813.1的相关规定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机箱防护要求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机箱应符合GB/T 4208中IP20防护要求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整机噪音</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▲产品工作在空闲状态下，产品的声功率级应不超过4.5 Bel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135"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整机散热</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在环境温度25℃及处理器满载情况下，产品表面温度应符合如下要求： a) 出风口在机箱后面板情况下，出风口温度不高于55℃；</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 可触及面温度不高于45℃； c) 显示器表面温度：显示屏不高于</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38℃，显示屏上下灯带位置温度（如涉及）不高于40℃，出风口温度不高于45℃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整机能效限定值</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产品能效限定值应达到GB28380-2012 标准中能效等级2级及以上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机身材质</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塑料/金属等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机身颜色</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灰色/黑色等商务色系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44"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机箱尺寸容量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机箱体积≤30L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 性能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CPU物理核数</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CPU主频</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★≥3.0GHz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80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 末级缓存容量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★≥16MB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1"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CPU支持的内存最高速率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≥3200MT/s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内存性能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内存读写速率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≥2666MT/s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4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显卡性能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显示分辨率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≥1920x1080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显卡显示芯片核心频率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★≥1140MHz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显存等效频率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≥2666MT/s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42"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显卡可支持多屏同时显示数量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显卡应支持2块屏幕同时显示，分辨率应不低于1920×1080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显示设备性能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显示屏刷新率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★≥75Hz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显示屏位深</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显示屏色域</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≥99% sRGB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显示屏色准</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△E ≤ 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响应时间</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显示屏亮度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★≥250尼特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显示屏亮度一致性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显示屏对比度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▲≥3000：1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显示屏其他参数</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其它参数应符合SJ/T 11292的相关规定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网络设备性能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有线网卡速率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最高速率应不低于1000Mbps，应支持10Mbps、100Mbps、1000Mbps速率自适应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374"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主板功能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内存扩展接口</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(板载内存不涉</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及)</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主板USB 瞬间过流保护</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支持有瞬间过流保护功能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主板防静电保护</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支持防静电保护功能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342"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I/O接口功能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提供基于标准USB接口外设连接功能、基于音频输入输出接口的音频扩展功能、基于PCIe接口板卡扩展功能、基于HDMI或VGA或Type-C或DVI或DP 等接口外接显示器扩展功能、基于存储接口对产品进行增容功能等。产品I/O接口，应具备外接标准USB设备、显示器、音频设备等内外部设备能力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显卡功能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显卡外接显示接口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显卡至少支持VGA、HDMI、DVI、DP、 Type-C中1种显示接口，并与显示器接口相匹配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显示设备功能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显示器应与显卡外接显示接口匹配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显示器支架</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显示器应提供显示器支架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显示器参数调节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a)提供OSD选单按钮用于调节色彩、模式等；</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b)支持色温、亮度、对比度调节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存储功能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通过SATA固态存储/PCIe固态存储/UFS固态存储/SATA硬磁盘等存储部件提供存储功能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网络设备功能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网络功能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a)支持网络连接、网络开启/关闭功能；b)支持访问网络和数据交换功能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数据传输</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支持数据传输能力，并提供数据流量和异常日志记录功能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有线网卡接口类型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支持RJ45接口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外部接口功能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音频接口类型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支持3.5mm孔径3段式或4段式接口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视频接口类型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至少支持VGA、HDMI、DVI、DP、Type-C</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中1种显示接口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2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HDMI、DP、 Type-C显示接口要求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若提供HDMI或DP或Type-C作为显示接口，应支持音频和视频同步输出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其他接口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≥1个COM口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电源功能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电源线适配能力</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电源≥200W</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电源适配器电线组件应符合GB/T</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15934的要求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操作系统及软件功能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中文信息处理要求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 18030的相关规定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操作系统备份及还原功能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支持BIOS级别的操作系统备份及还原功能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固件备份还原能力</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支持备份及还原固件的功能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操作系统及驱动升级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支持通过网络、闪存盘等方式对操作系统、驱动进行升级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固件升级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支持通过网络、闪存盘等方式对固件进行升级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BIOS支持关闭通讯接口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支持BIOS关闭以太网及USB接口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固件查看信息</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支持查看固件版本、内存信息、主板信息、处理器信息和系统时间信息等功能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固件设置启动顺序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支持设置启动顺序功能，并按照设置的启动顺序启动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5"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固件设置口令</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支持设置口令、修改口令、验证口令功能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固件设置网络引导</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支持网络引导启动和关闭功能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存储设备可靠性</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固态存储寿命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▲TBW ≥ 80TB（条件：240GB硬盘容量）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本项目不涉及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显示设备可靠性</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显示屏屏幕失效点</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9813.2的要求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外设可靠性</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键盘按键寿命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≥1000万次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鼠标按键寿命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≥500万次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键盘鼠标线材寿命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键盘鼠标所用线材经±60°弯折不低于3000次，功能、外观完好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风扇寿命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≥4万小时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整机可靠性要求</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电磁兼容性要求的抗扰度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9254.2的规定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环境条件要求的气候环境适应性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6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环境条件要求的振动适应性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环境条件要求的冲击适应性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环境条件要求的碰撞适应性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2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环境条件要求的运输包装件跌落适应性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MTBF测试</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 xml:space="preserve">MTBF(m1)≥3万小时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包装及运输要求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包装及运输要求</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标志、包装、运输和贮存</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9813.1和商品包装政府采购需求标准的相关规定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配置检查工具</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投标人提供自检测试工具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2665"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服务响应</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a)投标人提供电话、电子邮件、远程连接等多种形式服务；b)投标人提供同城4h、异地12h技术响应服务，2个工作日解决问题，对于未能解决的问题和故障应提供可行的升级方案，并提供周转设备或更换设备； c)建立全国技术服务体系和服务团体，符合专业服务体系标准要求，提供原厂中文服务； d)服务周期内提供产品的维修、换件和升级服务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68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服务周期</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 设备停产后应继续提供质量保障服务（含备品备件），服务终止时间与最后一批设备交付时间间隔不低于6年；</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 产品停止服务时间应提前1年告知；</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 应明确产品发布日期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154"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预装操作系统</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★预装符合桌面操作系统政府采购需求标准的正版操作系统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培训服务</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投标人提供培训材料、产品手册、培训视频等培训相关内容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典型问题解决手册</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投标人提供典型问题解决说明文档或视频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厂家升级软件与扩容服务</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投标人提供上门升级部件/软件与扩容的增值服务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整机质量服务要求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免费服务周期（含换件和维修）应不小于3年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合格证书要求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投标人提供产品合格证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开箱组装/使用指导要求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投标人提供开箱组装/使用指导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驱动下载服务要求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投标人提供驱动光盘或下载方式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兼容适配软件下载服务要求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投标人提供兼容适配软件下载渠道（光盘、网站）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跨架构平台应用兼容</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投标人提供跨架构平台的应用兼容工具，支持一种或者一种以上不同架构平台的应用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供应保障要求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供应链合规性</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产品部件保障</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投标人保障产品主要部件，提供6年的备件服务能力（自购买之日起），或提供可兼容原设备的升级换代产品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供应保障要求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供应链质量</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抗干扰性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当产品部件出现供应风险时，投标人应通知采购人并提供风险应对方案确保产品的服务保障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供应保障要求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供应能力证明</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投标人提供供应链稳定承诺书，确保产品的部件在产品服务周期内稳定供货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关键部件安全要求</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关键部件安全要求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★CPU和操作系统等关键部件应当符合安全可靠测评要求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整机安全性要求</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密码算法实现</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CPU芯片应符合GM/T 0008的相关规定，或芯片密码模块应符合GB/T37092 或GM/T 0028的相关规定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2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USB端口管控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USB支持BIOS下全部接口开关、可切换禁止访问模式/只读模式。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安全物理锁</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支持安全物理锁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56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信息安全基本要求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 产品应符合GB/T 39276的5.2的规定； b) 生产厂商应建立漏洞跟踪表，保证产品版本涉及到的漏洞(如驱动程序</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等)可查看； c) 产品不得包含已知的恶意代码或漏洞，不存在未声明的指令、功能、接口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固件安全启动</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支持固件安全启动功能，固件启动过程中只有通过启动校验才能正常启动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限用物质的限量要求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26572中规定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9337" w:type="dxa"/>
            <w:gridSpan w:val="6"/>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台式计算机（教师机）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 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CPU信息</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国产 C86 架构 CPU，通道数≥2，热设计功耗≤65W，位宽≥64bit;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内存配置容量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★≥32GB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支持DDR4/LPDDR4/LPDDR4X及以上内存类型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55"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内存条配置数量（板载内存不涉及）</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主板集成模块</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集成资源扩展模块、计算处理模块、音频扩展模块等，主板的互联拓扑可通过处理器或交换电路实现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主板支持的CPU 和内存情况</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支持DDR4-3200内存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主板内置</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PCIe插槽数量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支持PCIe插槽数量不少于2个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6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特殊孔位及接口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预留满足USB3.0数据传输规范的接口，工作电压5V，最大过电流应不小于3A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主板其他内置接口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≥1个M.2 SSD接口；≥4个SATA3接口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单内存插槽最大可支持容量（板载内存不涉及）</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内存插槽满配时提供的最高内存总容量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≥16GB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492"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存储设备规格</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固态盘数量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固态存储容量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★≥1TB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机械硬盘总容量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机械硬盘转速</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本项目不涉及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76"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机械硬盘形态</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本项目不涉及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固态存储形态</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采用插卡或板载等形态，可选用符合 M.2或2.5寸SATA或mSATA等标准的插卡形态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存储设备其他参数要求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a)固态盘应符合SJ/T 11654相关规定；</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b)机械硬盘准备时间应不大于30s；侧面固定螺丝孔数量可为4孔或6孔；工作状态环境温度应满足5℃~55℃；其它参数应符合GB/T 12628相关规定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4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独立显卡显存类型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若配置独立显卡，显存类型应为</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DDR3/DDR4/GDDR5/GDDR6/LPDDR4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独立显卡显存位宽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显存位宽≥64位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独立显卡显存容量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★配置独立显卡，显存容量≥2GB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6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独立显卡接口协议</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支持PCIe协议版本大于等于2.0或HT</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（HyperTransport）协议版本大于等于3.0的独立显卡接口协议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显示设备规格</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显示屏屏占比</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显示屏分辨率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≥1920x1080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显示屏像素密度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≥85像素/英寸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显示屏可视角度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水平≥170°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显示屏尺寸</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≥27英寸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显示屏屏幕比例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16:9/3:2/21:9/16:10等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显示器外观颜色</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黑色/白色/银色等商务色系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显示屏防蓝光</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▲支持防蓝光模式，蓝光加权辐射亮度比应≤0.0012W/(·cd·sr)（瓦每坎特拉每球面度）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显示屏低频闪</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显示屏应支持低频闪≤-35dB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4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显示屏防炫目</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显示屏镜面反射率≤10%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键盘按键数目</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61键/86键/101键/104键等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键盘连接方式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有线或无线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17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键盘键程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2.3mm ~ 4.0mm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键盘按键压力</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按键压力应在0.54 N±0.14N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有线键盘连接线</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键盘颜色</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黑色/白色/银色等商务色系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键盘其他要求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键盘外观结构、连接方式、主要功能、安全、电磁兼容性、可靠性应符合GB/T14081的相关规定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鼠标连接方式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有线或无线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有线鼠标连接线</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1"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鼠标DPI 分辨率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800~1600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鼠标颜色</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黑色/银色/白色等商务色系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鼠标其他要求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★鼠标其它参数应符合GB/T 26245的相关规定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内置光驱</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支持内置光驱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4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网络设备规格</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有线网卡数量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无线网卡及天线数量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44"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单无线网卡天线数量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2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外部接口规格</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USB接口数量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前面板应提供不少于 4 个 USB接口;</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后面板提供不少于4个USB接口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视频接口数量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音频接口数量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提供前置2个音频接口，后置3个音频接口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存储卡接口数量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45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整机基础规格</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整机外观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 产品表面不应有凹痕、划伤、裂缝、变形和污染等。表面涂层均匀，不应起泡、龟裂、脱落和磨损，金属零部件无锈蚀及其它机械损伤； b) 产品表面说明功能的文字、符号、标志，应清晰、端正、牢固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状态指示灯</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在产品显著位置提供状态指示功能，如运行状态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整机结构</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 机箱应符合GB/T4208、GB/T26246 的相关规定；        b) 产品内部结构应符合通用部件的安装需求； c) 所有输入输出接口应符合相关国家或行业标准； d) 产品零部件应紧固无松动，可插拔部件应可靠连接，开关、按钮和其它控制部件应灵活可靠，布局应方便使用； e) 所有I/O连接器及需插接线缆的部位应预留采购人操作空间，方便插拔解锁与插拔线缆； f) 可插拔板卡插槽部位应预留安装、拆卸或更换板卡空间； g) 拆装可能接触到的金属剪口或金属尖角部位应做防划伤处理，以保证安全； h) 整机内部走线应规整，固线结构和位置要合理可靠并做防割线处理，需便于理线和插拔操作，走线应不影响系统各主要部件组装和拆卸； i) 如需通过孔走线，过线孔应做防割线处理； j) 各插头位置和插拔方向应合理，应做到插拔无障碍设计，具备防呆设计，有效避免误操作； k) 各主要部件拆装无障碍，使用常规工具拆装，无特殊拆装工具需求； l) 各主要部件拆装步骤要少，各自拆装需避免相互干扰； m) 对于整机或零部件外表面为高亮面的，应粘贴保护膜，保护膜需粘贴牢固，运输、组装等过程不易脱落，撕下无残留；n) 其它要求应符合GB/T 9813.1的相关规定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机箱防护要求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机箱应符合GB/T 4208中IP20防护要求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整机噪音</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▲产品工作在空闲状态下，产品的声功率级应不超过4.5 Bel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66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整机散热</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在环境温度25℃及处理器满载情况下，产品表面温度应符合如下要求： a) 出风口在机箱后面板情况下，出风口温度不高于55℃；</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 可触及面温度不高于45℃； c) 显示器表面温度：显示屏不高于</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38℃，显示屏上下灯带位置温度（如涉及）不高于40℃，出风口温度不高于45℃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整机能效限定值</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产品能效限定值应达到GB28380-2012 标准中能效等级2级及以上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机身材质</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塑料/金属等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机身颜色</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灰色/黑色等商务色系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44"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产品规格</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机箱尺寸容量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机箱体积≤30L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 性能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CPU物理核数</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CPU主频</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★≥3.0GHz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80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 末级缓存容量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★≥16MB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1"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CPU支持的内存最高速率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≥3200MT/s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内存性能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内存读写速率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≥2666MT/s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49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显卡性能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显示分辨率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≥1920x1080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显卡显示芯片核心频率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★≥1140MHz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显存等效频率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≥2666MT/s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42"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显卡可支持多屏同时显示数量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显卡应支持2块屏幕同时显示，分辨率应不低于1920×1080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显示设备性能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显示屏刷新率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★≥75Hz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显示屏位深</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显示屏色域</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≥99% sRGB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显示屏色准</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△E ≤ 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响应时间</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▲≤6ms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显示屏亮度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★≥250尼特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显示屏亮度一致性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显示屏对比度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▲≥3000：1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显示屏其他参数</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其它参数应符合SJ/T 11292的相关规定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性能要求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网络设备性能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有线网卡速率</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最高速率应不低于1000Mbps，应支持</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10Mbps、100Mbps、1000Mbps速率自适应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2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主板功能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内存扩展接口</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(板载内存不涉</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及)</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≥2个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主板USB 瞬间过流保护</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支持有瞬间过流保护功能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主板防</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静电保护</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支持防静电保护功能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342"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89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I/O接口功能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提供基于标准USB接口外设连接功能、基于音频输入输出接口的音频扩展功能、基于PCIe接口板卡扩展功能、基于HDMI或VGA或Type-C或DVI或DP 等接口外接显示器扩展功能、基于存储接口对产品进行增容功能等。产品I/O接口，应具备外接标准USB设备、显示器、音频设备等内外部设备能力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显卡功能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显卡外接显示接口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显卡至少支持VGA、HDMI、DVI、DP、 Type-C中1种显示接口，并与显示器接口相匹配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独立显卡数量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显示设备功能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显示器应与显卡外接显示接口匹配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显示器支架</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显示器应提供显示器支架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显示器参数调节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a)提供OSD选单按钮用于调节色彩、模式等；</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b)支持色温、亮度、对比度调节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存储功能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存储功能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通过SATA固态存储/PCIe固态存储/UFS固态存储/SATA硬磁盘等存储部件提供存储功能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网络设备功能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网络功能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a)支持网络连接、网络开启/关闭功能；b)支持访问网络和数据交换功能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数据传输</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支持数据传输能力，并提供数据流量和异常日志记录功能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99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有线网卡接口类型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支持RJ45接口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外部接口功能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音频接口类型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支持3.5mm孔径3段式或4段式接口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视频接口类型</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至少支持VGA、HDMI、DVI、DP、Type-C</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中1种显示接口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2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HDMI、DP、 Type-C显示接口要求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若提供HDMI或DP或Type-C作为显示接口，应支持音频和视频同步输出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其他接口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≥1个COM口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电源功能</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电源线适配能力</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电源≥200W</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电源适配器电线组件应符合GB/T</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15934的要求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操作系统及软件功能</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中文信息处理要求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 18030的相关规定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操作系统备份及还原功能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支持BIOS级别的操作系统备份及还原功能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固件备份还原能力</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支持备份及还原固件的功能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操作系统及驱动升级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支持通过网络、闪存盘等方式对操作系统、驱动进行升级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固件升级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支持通过网络、闪存盘等方式对固件进行升级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BIOS支持关闭通讯接口</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支持BIOS关闭以太网及USB接口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固件查看信息</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支持查看固件版本、内存信息、主板信息、处理器信息和系统时间信息等功能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固件设置启动顺序</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支持设置启动顺序功能，并按照设置的启动顺序启动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5"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固件设置口令</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支持设置口令、修改口令、验证口令功能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功能要求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固件设置网络引导</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支持网络引导启动和关闭功能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存储设备可靠性</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固态存储寿命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▲TBW ≥ 80TB（条件：240GB硬盘容量）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机械硬盘寿命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本项目不涉及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119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显示设备可靠性</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显示屏屏幕失效点</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9813.2的要求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外设可靠性</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键盘按键寿命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≥1000万次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鼠标按键寿命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≥500万次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键盘鼠标线材寿命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键盘鼠标所用线材经±60°弯折不低于3000次，功能、外观完好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风扇寿命</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≥4万小时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整机可靠性要求</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电磁兼容性要求的抗扰度</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9254.2的规定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环境条件要求的气候环境适应性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6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环境条件要求的振动适应性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环境条件要求的冲击适应性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环境条件要求的碰撞适应性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21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129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环境条件要求的运输包装件跌落适应性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符合GB/T9813.1中规定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可靠性要求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MTBF测试</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 xml:space="preserve">MTBF(m1)≥3万小时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包装及运输要求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包装及运输要求</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标志、包装、运输和贮存</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9813.1和商品包装政府采购需求标准的相关规定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配置检查工具</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投标人提供自检测试工具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2665"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服务响应</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a)投标人提供电话、电子邮件、远程连接等多种形式服务；b)投标人提供同城4h、异地12h技术响应服务，2个工作日解决问题，对于未能解决的问题和故障应提供可行的升级方案，并提供周转设备或更换设备； c)建立全国技术服务体系和服务团体，符合专业服务体系标准要求，提供原厂中文服务； d)服务周期内提供产品的维修、换件和升级服务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68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服务周期</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 设备停产后应继续提供质量保障服务（含备品备件），服务终止时间与最后一批设备交付时间间隔不低于6年；</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b) 产品停止服务时间应提前1年告知；</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 应明确产品发布日期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154"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139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预装操作系统</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★预装符合桌面操作系统政府采购需求标准的正版操作系统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培训服务</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投标人提供培训材料、产品手册、培训视频等培训相关内容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典型问题解决手册</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投标人提供典型问题解决说明文档或视频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厂家升级软件与扩容服务</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投标人提供上门升级部件/软件与扩容的增值服务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整机质量服务要求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免费服务周期（含换件和维修）应不小于3年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合格证书要求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投标人提供产品合格证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开箱组装/使用指导要求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投标人提供开箱组装/使用指导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驱动下载服务要求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投标人提供驱动光盘或下载方式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兼容适配软件下载服务要求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投标人提供兼容适配软件下载渠道（光盘、网站）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服务要求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跨架构平台应用兼容</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投标人提供跨架构平台的应用兼容工具，支持一种或者一种以上不同架构平台的应用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149</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供应保障要求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供应链合规性</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产品部件保障</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投标人保障产品主要部件，提供6年的备件服务能力（自购买之日起），或提供可兼容原设备的升级换代产品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150</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供应保障要求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供应链质量</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抗干扰性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当产品部件出现供应风险时，投标人应通知采购人并提供风险应对方案确保产品的服务保障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151</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供应保障要求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供应能力证明</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投标人提供供应链稳定承诺书，确保产品的部件在产品服务周期内稳定供货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trHeight w:val="97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152</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关键部件安全要求</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关键部件安全要求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★CPU和操作系统等关键部件应当符合安全可靠测评要求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153</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整机安全性要求</w:t>
            </w: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密码算法实现</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CPU芯片应符合GM/T 0008的相关规定，或芯片密码模块应符合GB/T37092 或GM/T 0028的相关规定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28"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154</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USB端口管控</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USB支持BIOS下全部接口一键开关、可切换禁止访问模式/只读模式。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155</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安全物理锁</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支持安全物理锁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156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156</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vMerge w:val="restart"/>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信息安全基本要求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a) 产品应符合GB/T 39276的5.2的规定； b) 生产厂商应建立漏洞跟踪表，保证产品版本涉及到的漏洞(如驱动程序</w:t>
            </w:r>
          </w:p>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等)可查看； c) 产品不得包含已知的恶意代码或漏洞，不存在未声明的指令、功能、接口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577"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157</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固件安全启动</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支持固件安全启动功能，固件启动过程中只有通过启动校验才能正常启动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108" w:type="dxa"/>
            <w:bottom w:w="0" w:type="dxa"/>
            <w:right w:w="19" w:type="dxa"/>
          </w:tblCellMar>
        </w:tblPrEx>
        <w:trPr>
          <w:cantSplit/>
          <w:trHeight w:val="730" w:hRule="atLeast"/>
          <w:jc w:val="center"/>
        </w:trPr>
        <w:tc>
          <w:tcPr>
            <w:tcW w:w="639"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158</w:t>
            </w:r>
          </w:p>
        </w:tc>
        <w:tc>
          <w:tcPr>
            <w:tcW w:w="1446" w:type="dxa"/>
            <w:gridSpan w:val="2"/>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安全要求</w:t>
            </w:r>
          </w:p>
        </w:tc>
        <w:tc>
          <w:tcPr>
            <w:tcW w:w="1578" w:type="dxa"/>
            <w:vMerge w:val="continue"/>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p>
        </w:tc>
        <w:tc>
          <w:tcPr>
            <w:tcW w:w="2298"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限用物质的限量要求</w:t>
            </w:r>
          </w:p>
        </w:tc>
        <w:tc>
          <w:tcPr>
            <w:tcW w:w="3376" w:type="dxa"/>
            <w:noWrap w:val="0"/>
            <w:vAlign w:val="center"/>
          </w:tcPr>
          <w:p>
            <w:pPr>
              <w:widowControl w:val="0"/>
              <w:spacing w:line="480" w:lineRule="exact"/>
              <w:ind w:left="0" w:leftChars="0" w:firstLine="0" w:firstLineChars="0"/>
              <w:jc w:val="center"/>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符合GB/T 26572中规定</w:t>
            </w:r>
          </w:p>
        </w:tc>
      </w:tr>
    </w:tbl>
    <w:p>
      <w:pPr>
        <w:pStyle w:val="2"/>
        <w:numPr>
          <w:ilvl w:val="0"/>
          <w:numId w:val="0"/>
        </w:numPr>
        <w:tabs>
          <w:tab w:val="left" w:pos="-960"/>
          <w:tab w:val="clear" w:pos="0"/>
        </w:tabs>
        <w:bidi w:val="0"/>
        <w:ind w:left="-1015" w:leftChars="-452" w:hanging="70" w:hangingChars="39"/>
        <w:jc w:val="left"/>
        <w:rPr>
          <w:rFonts w:hint="eastAsia" w:ascii="仿宋" w:hAnsi="仿宋" w:eastAsia="仿宋" w:cs="仿宋"/>
          <w:sz w:val="18"/>
          <w:szCs w:val="18"/>
        </w:rPr>
        <w:sectPr>
          <w:pgSz w:w="11906" w:h="16838"/>
          <w:pgMar w:top="1440" w:right="1800" w:bottom="1440" w:left="180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1、付款方式：合同签订后预付合同金额的10%，设备到货安装验收合格后3个月内付清余款。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454705C"/>
    <w:rsid w:val="06E65ABA"/>
    <w:rsid w:val="082F30B8"/>
    <w:rsid w:val="0BC2638F"/>
    <w:rsid w:val="0BDC6B78"/>
    <w:rsid w:val="0C882A07"/>
    <w:rsid w:val="0C9A5BC4"/>
    <w:rsid w:val="0CD142BE"/>
    <w:rsid w:val="0D78696A"/>
    <w:rsid w:val="0DBF30C4"/>
    <w:rsid w:val="100159F1"/>
    <w:rsid w:val="10275305"/>
    <w:rsid w:val="10941E2C"/>
    <w:rsid w:val="138B678C"/>
    <w:rsid w:val="13A43BC7"/>
    <w:rsid w:val="14071091"/>
    <w:rsid w:val="144B0B25"/>
    <w:rsid w:val="152A5291"/>
    <w:rsid w:val="15323D2E"/>
    <w:rsid w:val="157C124F"/>
    <w:rsid w:val="15B405D8"/>
    <w:rsid w:val="173B2189"/>
    <w:rsid w:val="1870435E"/>
    <w:rsid w:val="18B65219"/>
    <w:rsid w:val="193251CA"/>
    <w:rsid w:val="1A48720E"/>
    <w:rsid w:val="1A921AAB"/>
    <w:rsid w:val="1AF01D54"/>
    <w:rsid w:val="1B811C42"/>
    <w:rsid w:val="1CB642A6"/>
    <w:rsid w:val="1CBE542C"/>
    <w:rsid w:val="1E434544"/>
    <w:rsid w:val="1F741D8C"/>
    <w:rsid w:val="1F7A5921"/>
    <w:rsid w:val="1FC0011B"/>
    <w:rsid w:val="1FF000D2"/>
    <w:rsid w:val="245503E6"/>
    <w:rsid w:val="25BA7F75"/>
    <w:rsid w:val="25DE44B5"/>
    <w:rsid w:val="264801BD"/>
    <w:rsid w:val="26A67AF4"/>
    <w:rsid w:val="271F1F6D"/>
    <w:rsid w:val="291B3960"/>
    <w:rsid w:val="292E08DE"/>
    <w:rsid w:val="2B5D6643"/>
    <w:rsid w:val="2B9E5DD1"/>
    <w:rsid w:val="2C761843"/>
    <w:rsid w:val="2D4E2C33"/>
    <w:rsid w:val="2E1B2848"/>
    <w:rsid w:val="2E342253"/>
    <w:rsid w:val="300D6BCC"/>
    <w:rsid w:val="31140310"/>
    <w:rsid w:val="345319C9"/>
    <w:rsid w:val="39963E4D"/>
    <w:rsid w:val="3AEF3EC0"/>
    <w:rsid w:val="3AFA4330"/>
    <w:rsid w:val="3B275F4B"/>
    <w:rsid w:val="3E5157CB"/>
    <w:rsid w:val="40D00EF3"/>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4FA0614"/>
    <w:rsid w:val="65F729C7"/>
    <w:rsid w:val="66934D57"/>
    <w:rsid w:val="67395DCC"/>
    <w:rsid w:val="677551D7"/>
    <w:rsid w:val="69FD1FFD"/>
    <w:rsid w:val="6BB31049"/>
    <w:rsid w:val="6BF15785"/>
    <w:rsid w:val="6CF430F2"/>
    <w:rsid w:val="6F321DFD"/>
    <w:rsid w:val="6F575DD1"/>
    <w:rsid w:val="70155795"/>
    <w:rsid w:val="70314EAA"/>
    <w:rsid w:val="706B3AE0"/>
    <w:rsid w:val="71E07B02"/>
    <w:rsid w:val="71F423E0"/>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0</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2025-02-27T08:25:53Z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