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机房智能化改造询价文件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22"/>
        <w:rPr>
          <w:rFonts w:hint="eastAsia"/>
          <w:lang w:val="en-US" w:eastAsia="zh-CN"/>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pPr>
        <w:pStyle w:val="5"/>
        <w:numPr>
          <w:ilvl w:val="0"/>
          <w:numId w:val="2"/>
        </w:numPr>
        <w:bidi w:val="0"/>
        <w:ind w:left="0" w:leftChars="0" w:firstLine="420" w:firstLineChars="0"/>
        <w:jc w:val="center"/>
      </w:pPr>
      <w:r>
        <w:rPr>
          <w:rFonts w:hint="eastAsia"/>
        </w:rPr>
        <w:t>报 价 函</w:t>
      </w:r>
    </w:p>
    <w:p>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pPr>
        <w:spacing w:line="360" w:lineRule="auto"/>
        <w:ind w:firstLine="480"/>
        <w:rPr>
          <w:rFonts w:hint="eastAsia" w:ascii="仿宋" w:hAnsi="仿宋" w:eastAsia="仿宋" w:cs="仿宋"/>
          <w:sz w:val="28"/>
          <w:szCs w:val="28"/>
        </w:rPr>
      </w:pPr>
    </w:p>
    <w:p>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pPr>
        <w:spacing w:line="360" w:lineRule="auto"/>
        <w:ind w:firstLine="480"/>
        <w:rPr>
          <w:szCs w:val="24"/>
        </w:rPr>
      </w:pPr>
    </w:p>
    <w:p>
      <w:pPr>
        <w:spacing w:line="360" w:lineRule="auto"/>
        <w:ind w:firstLine="480"/>
        <w:rPr>
          <w:szCs w:val="24"/>
        </w:rPr>
      </w:pPr>
    </w:p>
    <w:p>
      <w:pPr>
        <w:spacing w:line="360" w:lineRule="auto"/>
        <w:ind w:firstLine="480"/>
        <w:rPr>
          <w:rFonts w:hint="eastAsia" w:ascii="仿宋" w:hAnsi="仿宋" w:eastAsia="仿宋" w:cs="仿宋"/>
          <w:sz w:val="28"/>
          <w:szCs w:val="28"/>
        </w:rPr>
      </w:pP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pPr>
        <w:ind w:firstLine="482"/>
        <w:rPr>
          <w:rFonts w:hint="eastAsia" w:ascii="仿宋" w:hAnsi="仿宋" w:eastAsia="仿宋" w:cs="仿宋"/>
          <w:b/>
          <w:bCs/>
          <w:sz w:val="28"/>
          <w:szCs w:val="28"/>
          <w:lang w:val="zh-CN"/>
        </w:rPr>
      </w:pPr>
    </w:p>
    <w:p>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pPr>
        <w:ind w:firstLine="643"/>
        <w:rPr>
          <w:rFonts w:hint="eastAsia" w:ascii="仿宋" w:hAnsi="仿宋" w:eastAsia="仿宋" w:cs="仿宋"/>
          <w:b/>
          <w:sz w:val="32"/>
          <w:szCs w:val="32"/>
        </w:rPr>
      </w:pPr>
      <w:r>
        <w:rPr>
          <w:rFonts w:hint="eastAsia" w:ascii="仿宋" w:hAnsi="仿宋" w:eastAsia="仿宋" w:cs="仿宋"/>
          <w:b/>
          <w:sz w:val="32"/>
          <w:szCs w:val="32"/>
        </w:rPr>
        <w:br w:type="page"/>
      </w:r>
    </w:p>
    <w:p>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pPr>
        <w:rPr>
          <w:rFonts w:hint="eastAsia"/>
          <w:lang w:val="zh-CN" w:eastAsia="zh-CN"/>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pPr>
        <w:rPr>
          <w:rFonts w:hint="eastAsia"/>
        </w:rPr>
      </w:pPr>
      <w:r>
        <w:rPr>
          <w:rFonts w:hint="eastAsia"/>
        </w:rPr>
        <w:br w:type="page"/>
      </w:r>
    </w:p>
    <w:p>
      <w:pPr>
        <w:pStyle w:val="15"/>
        <w:rPr>
          <w:rFonts w:hint="eastAsia"/>
        </w:rPr>
        <w:sectPr>
          <w:pgSz w:w="11906" w:h="16838"/>
          <w:pgMar w:top="1440" w:right="1800" w:bottom="1440" w:left="1800" w:header="851" w:footer="992" w:gutter="0"/>
          <w:cols w:space="425" w:num="1"/>
          <w:docGrid w:type="lines" w:linePitch="312" w:charSpace="0"/>
        </w:sectPr>
      </w:pPr>
    </w:p>
    <w:p>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2.4、供应商代理证明或原厂授权。(原厂直接参与无需提供此项)</w:t>
      </w:r>
    </w:p>
    <w:p>
      <w:pPr>
        <w:rPr>
          <w:rFonts w:hint="default"/>
          <w:lang w:val="en-US" w:eastAsia="zh-CN"/>
        </w:rPr>
        <w:sectPr>
          <w:pgSz w:w="11906" w:h="16838"/>
          <w:pgMar w:top="1440" w:right="1800" w:bottom="1440" w:left="1800" w:header="851" w:footer="992" w:gutter="0"/>
          <w:cols w:space="425" w:num="1"/>
          <w:docGrid w:type="lines" w:linePitch="312" w:charSpace="0"/>
        </w:sectPr>
      </w:pPr>
    </w:p>
    <w:tbl>
      <w:tblPr>
        <w:tblStyle w:val="24"/>
        <w:tblW w:w="139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25"/>
        <w:gridCol w:w="1402"/>
        <w:gridCol w:w="4633"/>
        <w:gridCol w:w="819"/>
        <w:gridCol w:w="834"/>
        <w:gridCol w:w="1589"/>
        <w:gridCol w:w="1339"/>
        <w:gridCol w:w="1477"/>
        <w:gridCol w:w="9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3950" w:type="dxa"/>
            <w:gridSpan w:val="9"/>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5337" w:type="dxa"/>
            <w:gridSpan w:val="4"/>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5337" w:type="dxa"/>
            <w:gridSpan w:val="4"/>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5337" w:type="dxa"/>
            <w:gridSpan w:val="4"/>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5337" w:type="dxa"/>
            <w:gridSpan w:val="4"/>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5337" w:type="dxa"/>
            <w:gridSpan w:val="4"/>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4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6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技术参数</w:t>
            </w:r>
          </w:p>
        </w:tc>
        <w:tc>
          <w:tcPr>
            <w:tcW w:w="8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5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品牌型号</w:t>
            </w:r>
          </w:p>
        </w:tc>
        <w:tc>
          <w:tcPr>
            <w:tcW w:w="2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税点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46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8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9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sz w:val="24"/>
                <w:szCs w:val="24"/>
                <w:u w:val="none"/>
              </w:rPr>
              <w:t>1. 装修部分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拆除工程</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1.拆除原有隔墙石材饰面、原有地砖（铲除原地砖，含室外门厅地面及楼梯面）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2.拆除原有吊顶；拆除原有管线灯具插座等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3.拆除原有木门、玻璃门等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4.拆除原有静电地板：72㎡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5.铲除原有墙面涂料：126㎡</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6.拆除其他相关东西</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门窗工程</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1.包含原墙开门洞，门洞口钢结构加固，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2.加砌块封堵门洞，两面粉刷找平工程，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3.加砌块隔墙，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4.新开窗洞+新建窗户</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石材门槛石</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干硬性水泥砂浆铺贴石材门槛石， ≥8米</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弧形石膏板吊顶</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 Φ8吊杆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2.U50轻钢龙骨（上人）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3.双层9.5mm石膏板天棚复杂面层安装在U型轻钢龙骨上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4.板缝贴胶带、点锈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5.满批腻子3遍，无机涂料3遍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6.≥54㎡</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灯膜吊顶</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 Φ8吊杆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2.U50轻钢龙骨（上人）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3.18mm纤维板基层，9.5mm石膏板天棚复杂面层安装在U型轻钢龙骨上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4.板缝贴胶带、点锈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5.满批腻子3遍，无机涂料3遍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6.白色灯膜固定在吊顶上</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镀锌钢架隔墙</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20mm*40mm镀锌钢架十字焊接顶天立地，≥110㎡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110</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烤漆玻璃背景墙</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烤漆玻璃背景墙（含灯条），≥10㎡，详见系统图纸</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不锈钢踢脚线</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1.9mm阻燃板基层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2.50mm高不锈钢踢脚线面层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3.≥100m</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穿孔铝单板墙面</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钢龙骨基层，灰白色穿孔铝单板造型墙面，≥100㎡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不锈钢收边条</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不锈钢收边条20mm宽，≥32m</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墙面灯带</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定制成品灯带，≥30m</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亚克力发光字</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亚克力发光字 </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木质单开门</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1.规格：900mm*2300mm，烤漆木门，厚度40mm, 含配套优质五金件，门套等。</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樘</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木质双开门</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1.规格：1500mm*2300mm，烤漆木门，厚度40mm, 含配套优质五金件，门套等。</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樘</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玻璃双开门</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1.规格：1500mm*2300mm，钢化玻璃，12mm厚，含3C标，五金件不低于1.5mm厚不锈钢配件，含拉手，铰链，不锈钢门套等。</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樘</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定制玻璃双开门</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1.规格：2300mm*3200mm（弧形），钢化玻璃，12mm厚，含3C标，五金件不低于1.5mm厚不锈钢配件，含拉手，铰链，不锈钢门套等。</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樘</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铝板暗门</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 规格：900mm*2300mm，铝板厚度≥ 1.5mm ，铝板表面喷涂氟碳漆，涂层厚度要求 ≥30μm 。</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樘</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垃圾清运及保洁</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1.建筑垃圾装袋，装车，运输到指定地点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2.精细保洁</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地面工程</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1.40mm厚水泥黄沙找平，水泥自流平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2.铺贴500mm*500mm块毯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3.数量≥75㎡</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铺设防静电架空地板</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1．铺设500mm*500mm防静电架空地板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2.数量≥20㎡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600mm*600mm硅钙板吊顶</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 Φ8吊杆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2.U50轻钢龙骨（上人）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3.双层9.5mm石膏板天棚复杂面层安装在U型轻钢龙骨上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4.板缝贴胶带、点锈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5.满批腻子3遍，无机涂料3遍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6.数量≥120㎡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600mm平板灯</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定制成品600mm*600mm平板灯</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投影漆墙面</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投影漆墙面 数量≥18㎡</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移动式投影仪</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★1.≥3000ANSI流明亮度、对比度要求在10000:1-20000:1之间、分辨率要求≥1920×1080、主流显示技术，有良好投影性能（合适投射比与大角度梯形校正）、丰富接口（多 HDMI、USB、VGA、音频、网络接口）、实用智能功能（无线投屏与智能系统）、较轻重量（不大于3kg ）、低噪音（30dB 以下）、优散热</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墙砖</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规格：750mm*1500mm墙砖 数量≥15㎡</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不锈钢包边</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不锈钢收边条20mm宽,数量≥116m</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116</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金属字</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金属字</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水磨石地面</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1.基层处理(抹找平层)→磨光→弹线找规矩→设置分隔缝、分隔条→铺抹面层石粒浆→涂刷草酸出光→打蜡抛光→养护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2.数量≥70m</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无机涂料墙面</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1.批腻子3遍，无机涂料3遍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2.数量≥150㎡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强弱电系统</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1.强电：桥架电缆、开关插座等，满足办公区建设需求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2.弱电：桥架、配管配线、机柜等，满足办公区、展厅建设需求</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软装及家具(含备品备用间货架)</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卫生间、办公室给排水改造，含洁具、含货架</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运维终端</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 8台49英寸曲面屏显示器，分辨率4K；5台台式运维终端，CPU≥24核，中高端显卡，内存≥32G，固态硬盘≥8T；配套机箱、散热、电源、键鼠等其他。</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 3台移动运维终端。显示器尺寸≥16寸，分辨率≥2560*1600;CPU≥24核，L3缓存≥36MB;显卡不低于RTX4080，12GBGDDR6;内存≥64G，固态硬盘≥8T;高度≤3cm。配套鼠标、电源、包。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 2台办公用打印设备：彩色、黑白色单双面打印、扫描，单双面复印。</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1.其他装修辅材及拆补、安装由投标人免费提供</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2.上述涉及相关产品规格和数量未明确的参照系统图纸</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139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sz w:val="24"/>
                <w:szCs w:val="24"/>
                <w:u w:val="none"/>
              </w:rPr>
              <w:t>2.电源部分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铅酸蓄电池1</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1.类型：阀控式密封铅酸蓄电池。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2.蓄电池电压：2V/只。标称容量1000Ah。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 蓄电池应通过工信部（原信息产业部）YD/T799-2002标准。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 蓄电池要便于存储，自放电率每月不大于3%（提供泰尔认证证书并加盖投标人公章，未提供作负偏离。）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5、自放电损失：完全充电的蓄电池，在25±5℃的环境中，静置28天后，其容量保持率应在95％以上（提供泰尔认证证书并加盖投标人公章，未提供作负偏离。）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6、蓄电池在正常工作中应无酸雾逸出，（提供泰尔认证证书并加盖投标人公章，未提供作负偏离。）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7、蓄电池在充电过程中遇有明火，内部不应引爆（提供泰尔认证证书并加盖投标人公章，未提供作负偏离。）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8、蓄电池密封反应效率应不低于95％（提供泰尔认证证书并加盖投标人公章，未提供作负偏离。）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9、蓄电池应能承受50kPa的正压或负压而不破裂，压力释放后壳体无残余变形（提供泰尔认证证书并加盖投标人公章，未提供作负偏离。）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10、蓄电池的安全阀应具有滤酸和自动开启、自动关闭的功能，其开阀压力应为10kPa～49kPa，闭阀压力应为1kPa～15kPa（提供泰尔认证证书并加盖投标人公章，未提供作负偏离。）</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节</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348</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奥冠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GFM-1000（2V1000AH）</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铅酸蓄电池2</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1.类型：阀控式密封铅酸蓄电池。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2.蓄电池电压：12V/只。标称容量100Ah。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 蓄电池应通过工信部（原信息产业部）YD/T799-2002标准。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 蓄电池要便于存储，自放电率每月不大于3%（提供泰尔认证证书并加盖投标人公章，未提供作负偏离。）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5、自放电损失：完全充电的蓄电池，在25±5℃的环境中，静置28天后，其容量保持率应在95％以上（提供泰尔认证证书并加盖投标人公章，未提供作负偏离。）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6、蓄电池在正常工作中应无酸雾逸出，（提供泰尔认证证书并加盖投标人公章，未提供作负偏离。）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7、蓄电池在充电过程中遇有明火，内部不应引爆（提供泰尔认证证书并加盖投标人公章，未提供作负偏离。）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8、蓄电池密封反应效率应不低于95％（提供泰尔认证证书并加盖投标人公章，未提供作负偏离。）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9、蓄电池应能承受50kPa的正压或负压而不破裂，压力释放后壳体无残余变形（提供泰尔认证证书并加盖投标人公章，未提供作负偏离。）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10、蓄电池的安全阀应具有滤酸和自动开启、自动关闭的功能，其开阀压力应为10kPa～49kPa，闭阀压力应为1kPa～15kPa（提供泰尔认证证书并加盖投标人公章，未提供作负偏离。）</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节</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奥冠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6-GFM-100（12V100AH）</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电力电缆</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1.铜芯电力电缆WDZA-YJY-4*120+PE70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2.≥160m</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160</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上上</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电力电缆</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1.铜芯电力电缆WDZA-YJY-4*185+PE95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2.≥60m</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上上</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电力电缆</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1.铜芯电力电缆WDZA-YJY-4*70+PE35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2.≥60m</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上上</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电力电缆</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1.铜芯电力电缆WDZA-YJY-4*95+PE50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2.≥90m</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90</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上上</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电力电缆</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1.铜芯电力电缆WDZA-YJY-4*35+PE16</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2.≥30m</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上上</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电力电缆</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1.铜芯电力电缆WDZA-YJY-4*25+PE16</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2.≥260m</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上上</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电力电缆</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1.铜芯电力电缆WDZA-YJY-4*50+PE25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2.≥33m</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上上</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电力电缆</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1.铜芯电力电缆WDZA-YJY-4*10+PE10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2.≥416m</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416</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上上</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电力电缆</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1.铜芯电力电缆WDZA-YJY-4*16+PE16</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2.≥115m</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115</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上上</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电缆保护管</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1.JDG65，管壁内外镀锌，管断面均匀、无曲折、无毛刺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2.≥33m</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电缆保护管</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1.JDG50，管壁内外镀锌，管断面均匀、无曲折、无毛刺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2.≥335m</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335</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电缆保护管</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1.JDG40，管壁内外镀锌，管断面均匀、无曲折、无毛刺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2.≥495m</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495</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镀锌金属桥架</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1.200×100mm镀锌金属桥架，含桥架弯通、接头、支架等安装辅材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2.≥20m</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镀锌金属桥架</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1.300×150mm镀锌金属桥架，含桥架弯通、接头、支架等安装辅材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2.≥20m</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辅材</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线缆辅材，含接线端子，热缩管、标签、整体项目标牌、扎线带等，综合为1项</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利旧电缆</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动力双电源配电总箱APT1的进线电缆</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52</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智能仪表</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为原有配电箱新增11个智能仪表，测电流、电压、有功电能,配置RS485通信接口,包含配套接线及辅材</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53</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原消防系统检测</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对原消防系统进行检查，对故障进行修复，对耗材等进行更换，确保消防系统恢复正常。（包含翔宇大厦数据中心机房和深圳路机房、盱眙机房所有消防系统）</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1.施工过程中的涉及的其他材料及拆除安装等施工，由投标人免费提供</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2.上述涉及相关产品规格和数量未明确的参照系统图纸</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139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sz w:val="24"/>
                <w:szCs w:val="24"/>
                <w:u w:val="none"/>
              </w:rPr>
              <w:t>3.智能化工程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单门磁力锁</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1.最大静态直线拉力：280kg ± 15%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2.断电开锁，满足消防要求；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3.具有电锁状态指示灯（红灯为开锁状态， 绿灯为上锁状态）；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4.支持锁状态侦测信号(门磁)输出：NO/NC/COM接点；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5.工作电压：12V/420mA 或 24V/210mA；</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65</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DH-ASF220A-L</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2"/>
                <w:szCs w:val="22"/>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单门磁力锁支架</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1.选用材料：高强铝合金，表面喷沙，颜色为深灰色。</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2.外壳处理：阳极硬化电镀处理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3.适用门型：木门、金属门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4.开门方式：90度内开式门</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65</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DH-DL220L-I</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2"/>
                <w:szCs w:val="22"/>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双门磁力锁</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1.最大静态直线拉力：280kg ± 15%  * 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2.断电开锁，满足消防要求；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3.具有电锁状态指示灯（红灯为开锁状态， 绿灯为上锁状态）；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4.支持锁状态侦测信号(门磁)输出：NO/NC/COM接点；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5.工作电压：12V/840mA 或 24V/420mA；</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DH-ASF220B-L</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2"/>
                <w:szCs w:val="22"/>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双门磁力锁支架</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1.选用材料：高强铝合金，表面喷沙，颜色为深灰色。</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2.外壳处理：阳极硬化电镀处理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3.适用门型：木门、金属门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4.开门方式：90度内开式门</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DH-DL220L-I</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2"/>
                <w:szCs w:val="22"/>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59</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国密读卡器</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1.认证方式：刷卡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2.读卡频率：13.56MHz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3.可识别卡：国密CPU卡(含加密功能)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4.按键方式：无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5.通讯方式：RS485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6.工作电压：DC 12V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7.功耗：≤2W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8.安装方式：无底盒壁挂、86底盒、120底盒安装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9.工作环境：室内，不防水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10.设备尺寸：≤121.7mm(高)x87.2mm(宽)x24.6mm(厚)</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DH-ASR1100A-C</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2"/>
                <w:szCs w:val="22"/>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国密门禁控制器</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1.操作系统：嵌入式国产系统；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2.管控门数：1门；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3.存储容量：10万人（含20万张卡、10万个密码、1万枚指纹），60万条事件记录；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4.可接读卡器：RS485读卡器*2、读卡器*2；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5.通讯加密：采用SM2、SM3进行信息通信加密；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6.通信接口：网口*1、RS485*7、韦根*2；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7.门相关接口：门锁*1，门磁*1，开门按钮*1；</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8.报警接口：报警输入*2，报警输出*2；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9.其他接口：带消防联动继电器接口、接蓄电池功能接口；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11.门禁高级功能：组合认证、多重认证、反潜回功能、多门互锁功能、首卡常开功能、首开授权功能、超级密码开门功能、胁迫密码开门功能、闭门回锁功能等；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12.状态指示：具有电源、网络通讯、布防状态、门锁状态指示灯；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13.恢复出厂：具有reset按键，长按可恢复出厂设置；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14.升级功能：支持USB、WEB、客户端等方式给主机升级；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WEB管理：支持Web端管理，可进行人员管理、参数配置、事件查询、系统维护等操作；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15.工作电压：DC 12V（自带开关电源：220V输入，12V输出）；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16.外观尺寸：设备带机箱≤360 mm（高）*345 mm（宽）*88.3 mm（厚）；</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DH-ASC6201C-DJ</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2"/>
                <w:szCs w:val="22"/>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国密人脸一体机</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 国密人脸门禁一体机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2.国密加密：内置国密SE密码模块，支持SM1、SM4加密方式加密处理；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3.屏幕参数：≥7英寸触摸显示屏，屏幕比例9:16，屏幕分辨率≥600*1024；类型：LCD,操作方式：触摸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4.摄像头参数：采用宽动态≥200万的双目摄像头；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★5.认证方式：具备人脸、刷卡（国密CPU卡）、密码认证方式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人脸验证：采用深度学习算法，支持单人或多人识别（最多5人同时认证）功能；支持照片、视频防假；1:N人脸验证速度≤0.2s，人脸验证准确率≥99%；</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6.存储容量：储容量：本地支持≥1万人脸库、≥5万张卡，≥15万条事件记录；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7.可视对讲：支持和云眸/云帆、4200客户端、室内机、管理机进行可视对讲；支持配置一键呼叫室内机或管理机；支持副门口机或围墙机模式；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8.视频预览：支持管理中心远程视频预览，支持接入NVR设备，实现视频监控录像，编码格式H.264；</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9.认证结果显示可配：支持认证成功界面的“照片”、“姓名”、“工号”信息可配置是否显示；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10.认证结果语音自定义：集成文字转语音（TTS）和语音合成技术，认证成功和认证失败的语音可以分别配置4个时间段进行自定义播报，同时认证成功的语音可叠加播报姓名；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11.外接读卡器：支持通过RS485外接1个国密读卡器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12.门禁计划模板：支持255组计划模板管理，128个周计划，1024个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13.假日计划；支持常开、常闭时段管理；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14.组合认证：刷卡+密码、刷卡+刷脸、刷脸+密码等组合认证方式；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15.多重认证：支持多个人员认证（刷脸、刷卡等）通过后才开门；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16.报警功能：设备支持防拆报警、门被外力开起报警、胁迫卡和胁迫密码报警等；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17.事件上传：在线状态下将设备认证结果及联动抓拍照片实时上传给平台，支持断网续传功能，设备离线状态下产生事件在与平台连接后会重新上传;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18.操作系统：国产操作系统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19.有线网络：10/100/1000Mbps自适应网口：1个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20.门锁输出：1个;开门按钮：1个;门磁输入：1个;IO输入：2个;IO输出：1个;RS-485：1个;USB：1个;电源接口：1个;防拆：支持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21.用户容量≥10000;人脸容量≥10000;卡片容量≥50000;事件容量≥150000;密码容量≥10000 ;读卡类型：国密卡 ;补光灯：红外补光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22.防护等级：IP65;按键类型：触摸按键;防暴等级：IK04</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22.外观尺寸：209mm×110mm×24mm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23.安装方式：壁挂安装;通道安装;桌面安装;立式安装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24.门禁专用电源</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DH-ASI7213H-J  MW5108(SM_PSAM)</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2"/>
                <w:szCs w:val="22"/>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62</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出门按钮</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出门按钮</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DH-ASF900</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2"/>
                <w:szCs w:val="22"/>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63</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发卡器</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1、≥3.9英寸触摸显示屏，屏幕分辨率≥800*480；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2、采用≥200万双目摄像头，有照片视频防假功能；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3、支持人脸采集、卡片录入（ID/IC/普通CPU/国密CPU卡/二三代身份证序列号）；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4、支持有线网络、无线WiFi、USB口通信；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5、支持在线采集，通过网络协议或USB口对接到综合管理平台，平台进行在线采集，采集信息实时上传，将告警信息、日志信息送至动环监控系统；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6、配套电源模块</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DH-ASHZ200A-W  MW5108(SM_PSAM)</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2"/>
                <w:szCs w:val="22"/>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64</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国密CPU卡</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1.国密CPU卡，感应频率13.56MHZ；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2.支持国密SM1、SM4算法加密；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3.容量为≥80K byte；</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4.标准白卡外形；卡片尺寸：85.5mm*54mm*0.9mm</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MW5108(SM_CPU)</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2"/>
                <w:szCs w:val="22"/>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国密网络摄像机</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 ≥400万星光级1/2.7"CMOS智能半球网络摄像机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2.智能侦测：采用深度学习硬件及算法,提供精准的人车分类侦测,支持越界侦测,区域入侵侦测,进入/离开区域侦测。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3.支持联动白光报警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4.支持联动声音报警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5.支持GB35114安全加密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6.最小照度: 0.005Lux @(F1.2,AGC ON) ,0 Lux with IR</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镜头: 4mm, 水平视场角83.7°[2.8mm(102.7),6mm(51.8),8mm(39.4)可选]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7.调整角度: 水平:0°~360°,垂直:0°~75°,旋转0°~360°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宽动态范围: 120dB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8.视频压缩标准: H.265/H.264/ MJPEG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9.最大图像尺寸: ≥ 2560 x 1440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10.存储功能: 支持Micro SD(即TF卡)/Micro SDHC/Micro SDXC卡(256GB)断网本地存储及断网续传,NAS(NFS,SMB/CIFS均支持)功能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11.通讯接口: 1个RJ45 10M / 100M 自适应以太网口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12.内置麦克风和扬声器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13.音频接口: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 input (line in，最大输入幅值：3.3Vpp，输入阻抗：4.7KΩ，接口类型：非平衡),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 output (line out，最大输出幅值：3.3Vpp，输出阻抗：100Ω，接口类型：非平衡)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14.报警输入: 1路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报警输出: 1路(报警输出最大支持DC24V/AC24V 1A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15.电源输出: 支持两线式DC12V 100mA电源输出,用于给拾音器供电16.电源供应: DC12V±25% / PoE(802.3af)</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17.功耗: DC12V: 7W Max; PoE：8.5W Max</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18.红外照射距离: 最远可超过30米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19.尺寸(mm): φ129.9x114.9</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20. 配套摄像机专用电源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21.配套摄像机授权</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DH-IPC-HDBW5443R1-YL-PV-AS-MP</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2"/>
                <w:szCs w:val="22"/>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66</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门禁授权</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门禁授权</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大华</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2"/>
                <w:szCs w:val="22"/>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67</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网络硬盘录像机</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1.128路IP网络嵌入式硬盘录像机，128路视频输入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★2、配置硬盘要求可以存储监控视频超过六个月。</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DH-NVR724RH-128-4KS3</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2"/>
                <w:szCs w:val="22"/>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综合安防管理平台</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1.综合安防管理平台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2.将告警信息送至动环管理平台；</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大华</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2"/>
                <w:szCs w:val="22"/>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69</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终端</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1.2U双路标准机架式服务器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2.CPU：配置1颗国产处理器，核数≥10核，主频≥2.4GHz  （可扩展至2颗）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3.内存：配置≥32G DDR4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4.硬盘：配置≥2块1.2T 10K 2.5寸 SAS硬盘；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5.阵列卡：配置SAS_HBA卡，支持RAID 0/1/10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7.网口：板载2个千兆电口；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8.其他接口：1个RJ45管理接口，后置2个USB 3.0接口，前置2个USB2.0接口，1个VGA接口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9.电源：冗余电源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 2台，双活配置，确保一台故障不影响功能</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DH-ICC-B8900S2H-HW-ARM-E32</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2"/>
                <w:szCs w:val="22"/>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firstLine="440" w:firstLineChars="20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磁力锁线</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firstLine="440" w:firstLineChars="2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1.磁力锁线：RVV4*1.0。   ≥3500米；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2.出门按钮线：RVV2*1.0   ≥600米；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3.门禁一体机线：RVV2*1.0 ≥1200米；</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firstLine="440" w:firstLineChars="20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firstLine="440" w:firstLineChars="20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firstLine="440" w:firstLineChars="20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上上</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2"/>
                <w:szCs w:val="22"/>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71</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六类非屏蔽双绞线</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1.产品参照标准ISO/IEC11801, ANSI/TIA-568-C.2六类标准；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在Cat.6系统应用中，提供至少250MHz的信道带宽；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支持千兆以太网应用，以及传输速率高达2.4Gbps的局域网协议；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骨芯结构：十字骨龙芯，提供更稳定的性能及线缆支撑</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线芯规格：23AWG无氧铜，线径0.57±0.02mm；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护套材料：PVC；</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 ≥700米</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700</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上上</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72</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★1.国密门禁日志保存不低于一年。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★2.国密监控视频保存不低于6个月。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3.施工过程中的涉及的其他材料由投标人免费提供</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4.上述涉及相关产品规格和数量未明确的参照系统图纸和现场实际</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国产</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73</w:t>
            </w:r>
          </w:p>
        </w:tc>
        <w:tc>
          <w:tcPr>
            <w:tcW w:w="130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3105150</wp:posOffset>
                  </wp:positionH>
                  <wp:positionV relativeFrom="paragraph">
                    <wp:posOffset>-57150</wp:posOffset>
                  </wp:positionV>
                  <wp:extent cx="152400" cy="161925"/>
                  <wp:effectExtent l="0" t="0" r="0" b="0"/>
                  <wp:wrapNone/>
                  <wp:docPr id="17" name="Text_Box_10_SpCnt_3"/>
                  <wp:cNvGraphicFramePr/>
                  <a:graphic xmlns:a="http://schemas.openxmlformats.org/drawingml/2006/main">
                    <a:graphicData uri="http://schemas.openxmlformats.org/drawingml/2006/picture">
                      <pic:pic xmlns:pic="http://schemas.openxmlformats.org/drawingml/2006/picture">
                        <pic:nvPicPr>
                          <pic:cNvPr id="17" name="Text_Box_10_SpCnt_3"/>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23" name="Text_Box_5"/>
                  <wp:cNvGraphicFramePr/>
                  <a:graphic xmlns:a="http://schemas.openxmlformats.org/drawingml/2006/main">
                    <a:graphicData uri="http://schemas.openxmlformats.org/drawingml/2006/picture">
                      <pic:pic xmlns:pic="http://schemas.openxmlformats.org/drawingml/2006/picture">
                        <pic:nvPicPr>
                          <pic:cNvPr id="23" name="Text_Box_5"/>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4" name="Text_Box_9"/>
                  <wp:cNvGraphicFramePr/>
                  <a:graphic xmlns:a="http://schemas.openxmlformats.org/drawingml/2006/main">
                    <a:graphicData uri="http://schemas.openxmlformats.org/drawingml/2006/picture">
                      <pic:pic xmlns:pic="http://schemas.openxmlformats.org/drawingml/2006/picture">
                        <pic:nvPicPr>
                          <pic:cNvPr id="4" name="Text_Box_9"/>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3" name="Text_Box_5_SpCnt_1"/>
                  <wp:cNvGraphicFramePr/>
                  <a:graphic xmlns:a="http://schemas.openxmlformats.org/drawingml/2006/main">
                    <a:graphicData uri="http://schemas.openxmlformats.org/drawingml/2006/picture">
                      <pic:pic xmlns:pic="http://schemas.openxmlformats.org/drawingml/2006/picture">
                        <pic:nvPicPr>
                          <pic:cNvPr id="3" name="Text_Box_5_SpCnt_1"/>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 name="Text_Box_9_SpCnt_1"/>
                  <wp:cNvGraphicFramePr/>
                  <a:graphic xmlns:a="http://schemas.openxmlformats.org/drawingml/2006/main">
                    <a:graphicData uri="http://schemas.openxmlformats.org/drawingml/2006/picture">
                      <pic:pic xmlns:pic="http://schemas.openxmlformats.org/drawingml/2006/picture">
                        <pic:nvPicPr>
                          <pic:cNvPr id="1" name="Text_Box_9_SpCnt_1"/>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2" name="Text_Box_12"/>
                  <wp:cNvGraphicFramePr/>
                  <a:graphic xmlns:a="http://schemas.openxmlformats.org/drawingml/2006/main">
                    <a:graphicData uri="http://schemas.openxmlformats.org/drawingml/2006/picture">
                      <pic:pic xmlns:pic="http://schemas.openxmlformats.org/drawingml/2006/picture">
                        <pic:nvPicPr>
                          <pic:cNvPr id="2" name="Text_Box_12"/>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22" name="Text_Box_10"/>
                  <wp:cNvGraphicFramePr/>
                  <a:graphic xmlns:a="http://schemas.openxmlformats.org/drawingml/2006/main">
                    <a:graphicData uri="http://schemas.openxmlformats.org/drawingml/2006/picture">
                      <pic:pic xmlns:pic="http://schemas.openxmlformats.org/drawingml/2006/picture">
                        <pic:nvPicPr>
                          <pic:cNvPr id="22" name="Text_Box_10"/>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6" name="Text_Box_9_SpCnt_2"/>
                  <wp:cNvGraphicFramePr/>
                  <a:graphic xmlns:a="http://schemas.openxmlformats.org/drawingml/2006/main">
                    <a:graphicData uri="http://schemas.openxmlformats.org/drawingml/2006/picture">
                      <pic:pic xmlns:pic="http://schemas.openxmlformats.org/drawingml/2006/picture">
                        <pic:nvPicPr>
                          <pic:cNvPr id="16" name="Text_Box_9_SpCnt_2"/>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7" name="Text_Box_7"/>
                  <wp:cNvGraphicFramePr/>
                  <a:graphic xmlns:a="http://schemas.openxmlformats.org/drawingml/2006/main">
                    <a:graphicData uri="http://schemas.openxmlformats.org/drawingml/2006/picture">
                      <pic:pic xmlns:pic="http://schemas.openxmlformats.org/drawingml/2006/picture">
                        <pic:nvPicPr>
                          <pic:cNvPr id="7" name="Text_Box_7"/>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0" name="Text_Box_5_SpCnt_2"/>
                  <wp:cNvGraphicFramePr/>
                  <a:graphic xmlns:a="http://schemas.openxmlformats.org/drawingml/2006/main">
                    <a:graphicData uri="http://schemas.openxmlformats.org/drawingml/2006/picture">
                      <pic:pic xmlns:pic="http://schemas.openxmlformats.org/drawingml/2006/picture">
                        <pic:nvPicPr>
                          <pic:cNvPr id="10" name="Text_Box_5_SpCnt_2"/>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3" name="Text_Box_14"/>
                  <wp:cNvGraphicFramePr/>
                  <a:graphic xmlns:a="http://schemas.openxmlformats.org/drawingml/2006/main">
                    <a:graphicData uri="http://schemas.openxmlformats.org/drawingml/2006/picture">
                      <pic:pic xmlns:pic="http://schemas.openxmlformats.org/drawingml/2006/picture">
                        <pic:nvPicPr>
                          <pic:cNvPr id="13" name="Text_Box_14"/>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8" name="Text_Box_12_SpCnt_1"/>
                  <wp:cNvGraphicFramePr/>
                  <a:graphic xmlns:a="http://schemas.openxmlformats.org/drawingml/2006/main">
                    <a:graphicData uri="http://schemas.openxmlformats.org/drawingml/2006/picture">
                      <pic:pic xmlns:pic="http://schemas.openxmlformats.org/drawingml/2006/picture">
                        <pic:nvPicPr>
                          <pic:cNvPr id="8" name="Text_Box_12_SpCnt_1"/>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8" name="Text_Box_7_SpCnt_1"/>
                  <wp:cNvGraphicFramePr/>
                  <a:graphic xmlns:a="http://schemas.openxmlformats.org/drawingml/2006/main">
                    <a:graphicData uri="http://schemas.openxmlformats.org/drawingml/2006/picture">
                      <pic:pic xmlns:pic="http://schemas.openxmlformats.org/drawingml/2006/picture">
                        <pic:nvPicPr>
                          <pic:cNvPr id="18" name="Text_Box_7_SpCnt_1"/>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1" name="Text_Box_10_SpCnt_1"/>
                  <wp:cNvGraphicFramePr/>
                  <a:graphic xmlns:a="http://schemas.openxmlformats.org/drawingml/2006/main">
                    <a:graphicData uri="http://schemas.openxmlformats.org/drawingml/2006/picture">
                      <pic:pic xmlns:pic="http://schemas.openxmlformats.org/drawingml/2006/picture">
                        <pic:nvPicPr>
                          <pic:cNvPr id="11" name="Text_Box_10_SpCnt_1"/>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9" name="Text_Box_5_SpCnt_3"/>
                  <wp:cNvGraphicFramePr/>
                  <a:graphic xmlns:a="http://schemas.openxmlformats.org/drawingml/2006/main">
                    <a:graphicData uri="http://schemas.openxmlformats.org/drawingml/2006/picture">
                      <pic:pic xmlns:pic="http://schemas.openxmlformats.org/drawingml/2006/picture">
                        <pic:nvPicPr>
                          <pic:cNvPr id="19" name="Text_Box_5_SpCnt_3"/>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9" name="Text_Box_14_SpCnt_1"/>
                  <wp:cNvGraphicFramePr/>
                  <a:graphic xmlns:a="http://schemas.openxmlformats.org/drawingml/2006/main">
                    <a:graphicData uri="http://schemas.openxmlformats.org/drawingml/2006/picture">
                      <pic:pic xmlns:pic="http://schemas.openxmlformats.org/drawingml/2006/picture">
                        <pic:nvPicPr>
                          <pic:cNvPr id="9" name="Text_Box_14_SpCnt_1"/>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20" name="Text_Box_12_SpCnt_2"/>
                  <wp:cNvGraphicFramePr/>
                  <a:graphic xmlns:a="http://schemas.openxmlformats.org/drawingml/2006/main">
                    <a:graphicData uri="http://schemas.openxmlformats.org/drawingml/2006/picture">
                      <pic:pic xmlns:pic="http://schemas.openxmlformats.org/drawingml/2006/picture">
                        <pic:nvPicPr>
                          <pic:cNvPr id="20" name="Text_Box_12_SpCnt_2"/>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4" name="Text_Box_10_SpCnt_2"/>
                  <wp:cNvGraphicFramePr/>
                  <a:graphic xmlns:a="http://schemas.openxmlformats.org/drawingml/2006/main">
                    <a:graphicData uri="http://schemas.openxmlformats.org/drawingml/2006/picture">
                      <pic:pic xmlns:pic="http://schemas.openxmlformats.org/drawingml/2006/picture">
                        <pic:nvPicPr>
                          <pic:cNvPr id="14" name="Text_Box_10_SpCnt_2"/>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2" name="Text_Box_9_SpCnt_3"/>
                  <wp:cNvGraphicFramePr/>
                  <a:graphic xmlns:a="http://schemas.openxmlformats.org/drawingml/2006/main">
                    <a:graphicData uri="http://schemas.openxmlformats.org/drawingml/2006/picture">
                      <pic:pic xmlns:pic="http://schemas.openxmlformats.org/drawingml/2006/picture">
                        <pic:nvPicPr>
                          <pic:cNvPr id="12" name="Text_Box_9_SpCnt_3"/>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6" name="Text_Box_14_SpCnt_2"/>
                  <wp:cNvGraphicFramePr/>
                  <a:graphic xmlns:a="http://schemas.openxmlformats.org/drawingml/2006/main">
                    <a:graphicData uri="http://schemas.openxmlformats.org/drawingml/2006/picture">
                      <pic:pic xmlns:pic="http://schemas.openxmlformats.org/drawingml/2006/picture">
                        <pic:nvPicPr>
                          <pic:cNvPr id="6" name="Text_Box_14_SpCnt_2"/>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5" name="Text_Box_7_SpCnt_2"/>
                  <wp:cNvGraphicFramePr/>
                  <a:graphic xmlns:a="http://schemas.openxmlformats.org/drawingml/2006/main">
                    <a:graphicData uri="http://schemas.openxmlformats.org/drawingml/2006/picture">
                      <pic:pic xmlns:pic="http://schemas.openxmlformats.org/drawingml/2006/picture">
                        <pic:nvPicPr>
                          <pic:cNvPr id="15" name="Text_Box_7_SpCnt_2"/>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5" name="Text_Box_12_SpCnt_3"/>
                  <wp:cNvGraphicFramePr/>
                  <a:graphic xmlns:a="http://schemas.openxmlformats.org/drawingml/2006/main">
                    <a:graphicData uri="http://schemas.openxmlformats.org/drawingml/2006/picture">
                      <pic:pic xmlns:pic="http://schemas.openxmlformats.org/drawingml/2006/picture">
                        <pic:nvPicPr>
                          <pic:cNvPr id="5" name="Text_Box_12_SpCnt_3"/>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21" name="Text_Box_7_SpCnt_3"/>
                  <wp:cNvGraphicFramePr/>
                  <a:graphic xmlns:a="http://schemas.openxmlformats.org/drawingml/2006/main">
                    <a:graphicData uri="http://schemas.openxmlformats.org/drawingml/2006/picture">
                      <pic:pic xmlns:pic="http://schemas.openxmlformats.org/drawingml/2006/picture">
                        <pic:nvPicPr>
                          <pic:cNvPr id="21" name="Text_Box_7_SpCnt_3"/>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 xml:space="preserve"> 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trPr>
        <w:tc>
          <w:tcPr>
            <w:tcW w:w="139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注：以上报价含可抵扣的增值税专用发票、运费、以及卸货相关服务费用。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2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533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2" w:hRule="atLeast"/>
        </w:trPr>
        <w:tc>
          <w:tcPr>
            <w:tcW w:w="2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kern w:val="0"/>
                <w:sz w:val="24"/>
                <w:szCs w:val="24"/>
                <w:u w:val="none"/>
                <w:lang w:val="en-US" w:eastAsia="zh-CN" w:bidi="ar"/>
              </w:rPr>
              <w:t>项目整体验收合格之日起 84 个月</w:t>
            </w:r>
          </w:p>
        </w:tc>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533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0" w:hRule="atLeast"/>
        </w:trPr>
        <w:tc>
          <w:tcPr>
            <w:tcW w:w="2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4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30天</w:t>
            </w:r>
            <w:bookmarkStart w:id="0" w:name="_GoBack"/>
            <w:bookmarkEnd w:id="0"/>
          </w:p>
        </w:tc>
        <w:tc>
          <w:tcPr>
            <w:tcW w:w="1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533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合同签订后，支付合同总价的45%，试运行3个月后，通过验收，付至审定价的 97%，运维期满付清余款。</w:t>
            </w:r>
          </w:p>
        </w:tc>
      </w:tr>
    </w:tbl>
    <w:p>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备注：以上总金额包含与产品采购相关的全部价款。（包括但不限于海关、税票、运输、卸货、保险费用等），要求乙方提供增值税专用发票及财务需要的相关资料, 其发票内容与合同清单的一致。 </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1、付款条件:合同签订后个7日内支付30%预付款，货到验收合格后3个月内付清其余的货款。注</w:t>
      </w:r>
      <w:r>
        <w:rPr>
          <w:rFonts w:hint="eastAsia" w:ascii="仿宋" w:hAnsi="仿宋" w:eastAsia="仿宋" w:cs="仿宋"/>
          <w:color w:val="auto"/>
          <w:sz w:val="24"/>
          <w:szCs w:val="24"/>
          <w:lang w:val="en-US" w:eastAsia="zh-CN"/>
        </w:rPr>
        <w:t>：付款时供应商须提供正规发票（因发票问题而导致无法正常付款的，责任由供应商自己承担）。</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pPr>
        <w:ind w:left="0" w:leftChars="0" w:firstLine="0" w:firstLineChars="0"/>
      </w:pPr>
    </w:p>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zVkOGQwNzkyMmE2YWFhOTNmNjMyMGU1YzhhM2UifQ=="/>
  </w:docVars>
  <w:rsids>
    <w:rsidRoot w:val="1F741D8C"/>
    <w:rsid w:val="00F471B2"/>
    <w:rsid w:val="02BD280C"/>
    <w:rsid w:val="02BD7BE0"/>
    <w:rsid w:val="03626CD0"/>
    <w:rsid w:val="03BB36BB"/>
    <w:rsid w:val="058E7D29"/>
    <w:rsid w:val="06E65ABA"/>
    <w:rsid w:val="07CC21FA"/>
    <w:rsid w:val="082F30B8"/>
    <w:rsid w:val="0886108C"/>
    <w:rsid w:val="09FE7C7D"/>
    <w:rsid w:val="0BC2638F"/>
    <w:rsid w:val="0BDC6B78"/>
    <w:rsid w:val="0C882A07"/>
    <w:rsid w:val="0CD142BE"/>
    <w:rsid w:val="0D681C76"/>
    <w:rsid w:val="0D78696A"/>
    <w:rsid w:val="0DBF30C4"/>
    <w:rsid w:val="0DD96789"/>
    <w:rsid w:val="100159F1"/>
    <w:rsid w:val="10275305"/>
    <w:rsid w:val="10941E2C"/>
    <w:rsid w:val="133B07D3"/>
    <w:rsid w:val="138B678C"/>
    <w:rsid w:val="13A43BC7"/>
    <w:rsid w:val="144B0B25"/>
    <w:rsid w:val="14F94AB5"/>
    <w:rsid w:val="157C124F"/>
    <w:rsid w:val="15B405D8"/>
    <w:rsid w:val="173B2189"/>
    <w:rsid w:val="17CE6EF3"/>
    <w:rsid w:val="1870435E"/>
    <w:rsid w:val="18B65219"/>
    <w:rsid w:val="193251CA"/>
    <w:rsid w:val="1959078F"/>
    <w:rsid w:val="1A48720E"/>
    <w:rsid w:val="1B811C42"/>
    <w:rsid w:val="1C1414B5"/>
    <w:rsid w:val="1C44694B"/>
    <w:rsid w:val="1CB642A6"/>
    <w:rsid w:val="1CBE542C"/>
    <w:rsid w:val="1E434544"/>
    <w:rsid w:val="1F444EB4"/>
    <w:rsid w:val="1F741D8C"/>
    <w:rsid w:val="1FC0011B"/>
    <w:rsid w:val="1FF000D2"/>
    <w:rsid w:val="1FF040AD"/>
    <w:rsid w:val="200C3464"/>
    <w:rsid w:val="23B60935"/>
    <w:rsid w:val="245503E6"/>
    <w:rsid w:val="24BF2D95"/>
    <w:rsid w:val="25BA7F75"/>
    <w:rsid w:val="25DE44B5"/>
    <w:rsid w:val="264801BD"/>
    <w:rsid w:val="267537D8"/>
    <w:rsid w:val="26A67AF4"/>
    <w:rsid w:val="27933CD9"/>
    <w:rsid w:val="292E08DE"/>
    <w:rsid w:val="29E622D3"/>
    <w:rsid w:val="2A225DF1"/>
    <w:rsid w:val="2B6A410E"/>
    <w:rsid w:val="2B9E5DD1"/>
    <w:rsid w:val="2C761843"/>
    <w:rsid w:val="2D4E2C33"/>
    <w:rsid w:val="2DC647A7"/>
    <w:rsid w:val="2E1B2848"/>
    <w:rsid w:val="2E342253"/>
    <w:rsid w:val="2FA05CF7"/>
    <w:rsid w:val="300D6BCC"/>
    <w:rsid w:val="31140310"/>
    <w:rsid w:val="318F1FBE"/>
    <w:rsid w:val="339B7C29"/>
    <w:rsid w:val="345319C9"/>
    <w:rsid w:val="37A7439E"/>
    <w:rsid w:val="37CA2BC5"/>
    <w:rsid w:val="38544E55"/>
    <w:rsid w:val="39963E4D"/>
    <w:rsid w:val="3B0F7CBC"/>
    <w:rsid w:val="3B275F4B"/>
    <w:rsid w:val="3E015FF2"/>
    <w:rsid w:val="3E5157CB"/>
    <w:rsid w:val="40130CAF"/>
    <w:rsid w:val="420E65EA"/>
    <w:rsid w:val="42BF1B92"/>
    <w:rsid w:val="435E2995"/>
    <w:rsid w:val="43966372"/>
    <w:rsid w:val="44EF43A5"/>
    <w:rsid w:val="46AE2EAA"/>
    <w:rsid w:val="48832749"/>
    <w:rsid w:val="493C6A78"/>
    <w:rsid w:val="49AB2DE5"/>
    <w:rsid w:val="4A0D21C2"/>
    <w:rsid w:val="4A0E06F8"/>
    <w:rsid w:val="4B1A7BD1"/>
    <w:rsid w:val="4BB038DA"/>
    <w:rsid w:val="4C73767A"/>
    <w:rsid w:val="4D030046"/>
    <w:rsid w:val="4E802F1D"/>
    <w:rsid w:val="4EF042FA"/>
    <w:rsid w:val="4FAF448B"/>
    <w:rsid w:val="50417986"/>
    <w:rsid w:val="50F73FA0"/>
    <w:rsid w:val="515E18DF"/>
    <w:rsid w:val="51765D9A"/>
    <w:rsid w:val="521C7398"/>
    <w:rsid w:val="52446C35"/>
    <w:rsid w:val="527E16D3"/>
    <w:rsid w:val="52C14E18"/>
    <w:rsid w:val="5316709E"/>
    <w:rsid w:val="56E07198"/>
    <w:rsid w:val="57221F02"/>
    <w:rsid w:val="57DB3B40"/>
    <w:rsid w:val="58733762"/>
    <w:rsid w:val="59D75C73"/>
    <w:rsid w:val="5BBF6D32"/>
    <w:rsid w:val="5C02364F"/>
    <w:rsid w:val="5C4A6C71"/>
    <w:rsid w:val="5CA61E20"/>
    <w:rsid w:val="5D9E05A7"/>
    <w:rsid w:val="5DF96E76"/>
    <w:rsid w:val="5E0F059C"/>
    <w:rsid w:val="5EB9237C"/>
    <w:rsid w:val="5F0458F0"/>
    <w:rsid w:val="5FE226DD"/>
    <w:rsid w:val="60C33852"/>
    <w:rsid w:val="61547E11"/>
    <w:rsid w:val="61852A60"/>
    <w:rsid w:val="62567581"/>
    <w:rsid w:val="64467711"/>
    <w:rsid w:val="64E752C4"/>
    <w:rsid w:val="65F729C7"/>
    <w:rsid w:val="66934D57"/>
    <w:rsid w:val="66A27154"/>
    <w:rsid w:val="677551D7"/>
    <w:rsid w:val="69FD1FFD"/>
    <w:rsid w:val="6A2B5BCA"/>
    <w:rsid w:val="6AA75C6E"/>
    <w:rsid w:val="6BB31049"/>
    <w:rsid w:val="6BF15785"/>
    <w:rsid w:val="6CF430F2"/>
    <w:rsid w:val="6D3C0639"/>
    <w:rsid w:val="6DB96BEC"/>
    <w:rsid w:val="6F321DFD"/>
    <w:rsid w:val="6F575DD1"/>
    <w:rsid w:val="70155795"/>
    <w:rsid w:val="702E6762"/>
    <w:rsid w:val="70314EAA"/>
    <w:rsid w:val="706B3AE0"/>
    <w:rsid w:val="71270FB3"/>
    <w:rsid w:val="71E07B02"/>
    <w:rsid w:val="72C34258"/>
    <w:rsid w:val="73CE218C"/>
    <w:rsid w:val="79DA1D09"/>
    <w:rsid w:val="7A182199"/>
    <w:rsid w:val="7AE1770B"/>
    <w:rsid w:val="7B6A429E"/>
    <w:rsid w:val="7D0F483D"/>
    <w:rsid w:val="7E004848"/>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3">
    <w:name w:val="Title"/>
    <w:basedOn w:val="4"/>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qFormat/>
    <w:uiPriority w:val="0"/>
    <w:pPr>
      <w:spacing w:before="120"/>
    </w:pPr>
    <w:rPr>
      <w:rFonts w:ascii="Arial" w:hAnsi="Arial"/>
      <w:sz w:val="24"/>
    </w:rPr>
  </w:style>
  <w:style w:type="paragraph" w:styleId="15">
    <w:name w:val="Body Text"/>
    <w:basedOn w:val="1"/>
    <w:next w:val="1"/>
    <w:unhideWhenUsed/>
    <w:qFormat/>
    <w:uiPriority w:val="99"/>
    <w:pPr>
      <w:spacing w:after="120"/>
    </w:pPr>
    <w:rPr>
      <w:sz w:val="28"/>
    </w:rPr>
  </w:style>
  <w:style w:type="paragraph" w:styleId="16">
    <w:name w:val="Body Text Indent"/>
    <w:basedOn w:val="1"/>
    <w:qFormat/>
    <w:uiPriority w:val="99"/>
    <w:pPr>
      <w:spacing w:after="120"/>
      <w:ind w:left="420" w:leftChars="200"/>
    </w:pPr>
  </w:style>
  <w:style w:type="paragraph" w:styleId="17">
    <w:name w:val="Plain Text"/>
    <w:basedOn w:val="1"/>
    <w:next w:val="18"/>
    <w:unhideWhenUsed/>
    <w:qFormat/>
    <w:uiPriority w:val="0"/>
    <w:rPr>
      <w:rFonts w:ascii="宋体" w:hAnsi="Courier New"/>
      <w:szCs w:val="20"/>
    </w:rPr>
  </w:style>
  <w:style w:type="paragraph" w:customStyle="1" w:styleId="1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qFormat/>
    <w:uiPriority w:val="0"/>
    <w:rPr>
      <w:sz w:val="24"/>
    </w:rPr>
  </w:style>
  <w:style w:type="paragraph" w:styleId="22">
    <w:name w:val="Body Text First Indent"/>
    <w:basedOn w:val="1"/>
    <w:next w:val="23"/>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qFormat/>
    <w:uiPriority w:val="0"/>
    <w:rPr>
      <w:color w:val="0000FF"/>
      <w:u w:val="single"/>
    </w:rPr>
  </w:style>
  <w:style w:type="paragraph" w:customStyle="1" w:styleId="28">
    <w:name w:val="正文1"/>
    <w:next w:val="1"/>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qFormat/>
    <w:uiPriority w:val="0"/>
    <w:rPr>
      <w:rFonts w:hint="eastAsia" w:ascii="宋体" w:hAnsi="宋体" w:eastAsia="宋体" w:cs="宋体"/>
      <w:color w:val="000000"/>
      <w:sz w:val="22"/>
      <w:szCs w:val="22"/>
      <w:u w:val="none"/>
    </w:rPr>
  </w:style>
  <w:style w:type="character" w:customStyle="1" w:styleId="31">
    <w:name w:val="font112"/>
    <w:basedOn w:val="26"/>
    <w:qFormat/>
    <w:uiPriority w:val="0"/>
    <w:rPr>
      <w:rFonts w:hint="eastAsia" w:ascii="宋体" w:hAnsi="宋体" w:eastAsia="宋体" w:cs="宋体"/>
      <w:color w:val="000000"/>
      <w:sz w:val="24"/>
      <w:szCs w:val="24"/>
      <w:u w:val="none"/>
    </w:rPr>
  </w:style>
  <w:style w:type="character" w:customStyle="1" w:styleId="32">
    <w:name w:val="font21"/>
    <w:basedOn w:val="26"/>
    <w:qFormat/>
    <w:uiPriority w:val="0"/>
    <w:rPr>
      <w:rFonts w:hint="eastAsia" w:ascii="宋体" w:hAnsi="宋体" w:eastAsia="宋体" w:cs="宋体"/>
      <w:color w:val="000000"/>
      <w:sz w:val="24"/>
      <w:szCs w:val="24"/>
      <w:u w:val="none"/>
    </w:rPr>
  </w:style>
  <w:style w:type="character" w:customStyle="1" w:styleId="33">
    <w:name w:val="font121"/>
    <w:basedOn w:val="26"/>
    <w:qFormat/>
    <w:uiPriority w:val="0"/>
    <w:rPr>
      <w:rFonts w:hint="eastAsia" w:ascii="宋体" w:hAnsi="宋体" w:eastAsia="宋体" w:cs="宋体"/>
      <w:color w:val="000000"/>
      <w:sz w:val="24"/>
      <w:szCs w:val="24"/>
      <w:u w:val="single"/>
    </w:rPr>
  </w:style>
  <w:style w:type="character" w:customStyle="1" w:styleId="34">
    <w:name w:val="font101"/>
    <w:basedOn w:val="26"/>
    <w:qFormat/>
    <w:uiPriority w:val="0"/>
    <w:rPr>
      <w:rFonts w:hint="eastAsia" w:ascii="黑体" w:hAnsi="宋体" w:eastAsia="黑体" w:cs="黑体"/>
      <w:color w:val="000000"/>
      <w:sz w:val="24"/>
      <w:szCs w:val="24"/>
      <w:u w:val="none"/>
    </w:rPr>
  </w:style>
  <w:style w:type="character" w:customStyle="1" w:styleId="35">
    <w:name w:val="font12"/>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qFormat/>
    <w:uiPriority w:val="0"/>
    <w:rPr>
      <w:rFonts w:hint="eastAsia" w:ascii="宋体" w:hAnsi="宋体" w:eastAsia="宋体" w:cs="宋体"/>
      <w:color w:val="000000"/>
      <w:sz w:val="24"/>
      <w:szCs w:val="24"/>
      <w:u w:val="single"/>
    </w:rPr>
  </w:style>
  <w:style w:type="character" w:customStyle="1" w:styleId="37">
    <w:name w:val="font91"/>
    <w:basedOn w:val="26"/>
    <w:qFormat/>
    <w:uiPriority w:val="0"/>
    <w:rPr>
      <w:rFonts w:hint="eastAsia" w:ascii="黑体" w:hAnsi="宋体" w:eastAsia="黑体" w:cs="黑体"/>
      <w:color w:val="000000"/>
      <w:sz w:val="24"/>
      <w:szCs w:val="24"/>
      <w:u w:val="none"/>
    </w:rPr>
  </w:style>
  <w:style w:type="character" w:customStyle="1" w:styleId="38">
    <w:name w:val="font81"/>
    <w:basedOn w:val="26"/>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qFormat/>
    <w:uiPriority w:val="0"/>
    <w:rPr>
      <w:rFonts w:hint="eastAsia" w:ascii="黑体" w:hAnsi="宋体" w:eastAsia="黑体" w:cs="黑体"/>
      <w:color w:val="FF0000"/>
      <w:sz w:val="24"/>
      <w:szCs w:val="24"/>
      <w:u w:val="none"/>
    </w:rPr>
  </w:style>
  <w:style w:type="paragraph" w:customStyle="1" w:styleId="43">
    <w:name w:val="列表段落1"/>
    <w:basedOn w:val="1"/>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 w:type="character" w:customStyle="1" w:styleId="46">
    <w:name w:val="font31"/>
    <w:basedOn w:val="26"/>
    <w:qFormat/>
    <w:uiPriority w:val="0"/>
    <w:rPr>
      <w:rFonts w:hint="eastAsia" w:ascii="宋体" w:hAnsi="宋体" w:eastAsia="宋体" w:cs="宋体"/>
      <w:color w:val="FF0000"/>
      <w:sz w:val="22"/>
      <w:szCs w:val="22"/>
      <w:u w:val="none"/>
    </w:rPr>
  </w:style>
  <w:style w:type="character" w:customStyle="1" w:styleId="47">
    <w:name w:val="font13"/>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8">
    <w:name w:val="font122"/>
    <w:basedOn w:val="26"/>
    <w:qFormat/>
    <w:uiPriority w:val="0"/>
    <w:rPr>
      <w:rFonts w:hint="eastAsia" w:ascii="宋体" w:hAnsi="宋体" w:eastAsia="宋体" w:cs="宋体"/>
      <w:color w:val="000000"/>
      <w:sz w:val="22"/>
      <w:szCs w:val="22"/>
      <w:u w:val="single"/>
    </w:rPr>
  </w:style>
  <w:style w:type="character" w:customStyle="1" w:styleId="49">
    <w:name w:val="font41"/>
    <w:basedOn w:val="26"/>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816</Words>
  <Characters>827</Characters>
  <Lines>0</Lines>
  <Paragraphs>0</Paragraphs>
  <TotalTime>27</TotalTime>
  <ScaleCrop>false</ScaleCrop>
  <LinksUpToDate>false</LinksUpToDate>
  <CharactersWithSpaces>1183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Administrator</cp:lastModifiedBy>
  <cp:lastPrinted>2023-11-07T01:59:00Z</cp:lastPrinted>
  <dcterms:modified xsi:type="dcterms:W3CDTF">2025-03-24T08:19:06Z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998E303BB1E04EA4A7471D8F7AEFC918_13</vt:lpwstr>
  </property>
  <property fmtid="{D5CDD505-2E9C-101B-9397-08002B2CF9AE}" pid="4" name="KSOTemplateDocerSaveRecord">
    <vt:lpwstr>eyJoZGlkIjoiMTdmMDNkNWQ0ZWMxNjY0YzI3ODdkN2UzOWY5OGRlNzEifQ==</vt:lpwstr>
  </property>
</Properties>
</file>