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机房空调、冷通道及动环系统采购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2.4、原厂授权</w:t>
      </w:r>
    </w:p>
    <w:p>
      <w:pPr>
        <w:rPr>
          <w:rFonts w:hint="default"/>
          <w:lang w:val="en-US" w:eastAsia="zh-CN"/>
        </w:rPr>
        <w:sectPr>
          <w:pgSz w:w="11906" w:h="16838"/>
          <w:pgMar w:top="1440" w:right="1800" w:bottom="1440" w:left="1800" w:header="851" w:footer="992" w:gutter="0"/>
          <w:cols w:space="425" w:num="1"/>
          <w:docGrid w:type="lines" w:linePitch="312" w:charSpace="0"/>
        </w:sectPr>
      </w:pPr>
    </w:p>
    <w:tbl>
      <w:tblPr>
        <w:tblStyle w:val="24"/>
        <w:tblW w:w="139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8"/>
        <w:gridCol w:w="1466"/>
        <w:gridCol w:w="4916"/>
        <w:gridCol w:w="819"/>
        <w:gridCol w:w="834"/>
        <w:gridCol w:w="781"/>
        <w:gridCol w:w="808"/>
        <w:gridCol w:w="1339"/>
        <w:gridCol w:w="1477"/>
        <w:gridCol w:w="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950" w:type="dxa"/>
            <w:gridSpan w:val="10"/>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0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5337" w:type="dxa"/>
            <w:gridSpan w:val="5"/>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0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5337" w:type="dxa"/>
            <w:gridSpan w:val="5"/>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0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337" w:type="dxa"/>
            <w:gridSpan w:val="5"/>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0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337" w:type="dxa"/>
            <w:gridSpan w:val="5"/>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0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5337" w:type="dxa"/>
            <w:gridSpan w:val="5"/>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4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4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技术参数</w:t>
            </w:r>
          </w:p>
        </w:tc>
        <w:tc>
          <w:tcPr>
            <w:tcW w:w="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58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品牌型号</w:t>
            </w:r>
          </w:p>
        </w:tc>
        <w:tc>
          <w:tcPr>
            <w:tcW w:w="2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金额（元）</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4"/>
                <w:szCs w:val="24"/>
                <w:u w:val="none"/>
              </w:rPr>
            </w:pPr>
          </w:p>
        </w:tc>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4"/>
                <w:szCs w:val="24"/>
                <w:u w:val="none"/>
              </w:rPr>
            </w:pPr>
          </w:p>
        </w:tc>
        <w:tc>
          <w:tcPr>
            <w:tcW w:w="4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4"/>
                <w:szCs w:val="24"/>
                <w:u w:val="none"/>
              </w:rPr>
            </w:pPr>
          </w:p>
        </w:tc>
        <w:tc>
          <w:tcPr>
            <w:tcW w:w="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4"/>
                <w:szCs w:val="24"/>
                <w:u w:val="none"/>
              </w:rPr>
            </w:pPr>
          </w:p>
        </w:tc>
        <w:tc>
          <w:tcPr>
            <w:tcW w:w="15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4"/>
                <w:szCs w:val="24"/>
                <w:u w:val="none"/>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w:t>
            </w: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空调改造</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办公空调改造</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定制</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配电箱</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1.动力配电箱APT1-1；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2.箱内电气元器件按系统图要求配置；</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配电箱</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1.动力配电箱APT2；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2.箱内电气元器件按系统图要求配置；</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配电箱</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1.动力配电箱APT3；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2.箱内电气元器件按系统图要求配置；</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UPS检修更新</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机房所有UPS检修，对故障进行维修，更新损坏配件，确保恢复正常性能。（包含翔宇大厦数据中心机房和深圳路机房、盱眙机房所有在用UPS）</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下送风风冷精密空调</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★1、机房专用下送风风冷精密空调≥50KW，室内机额定风量≥10500m³/h。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★2、投标空调机组室内机尺寸以实际需求定制。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★3、投标空调机组能效比(EER)≥4.0。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★4、投标空调机组采用的压缩机类型须为变频式涡旋压缩机。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★5、投标空调机组室内风机必须采用高效可靠的EC风机。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★6、投标房间级空调机组室内机须100%全正面维护。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7、投标空调机组为节能型空调，通过国家节能产品认证。具有高能效比（35℃回风）：室外温度35℃条件下EER≥（4.0）。（提供CNAS或CMA标志的第三方权威机构检测报告，未提供作负偏离处理。）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8、温湿度传感器需为高精度温湿度传感器，温度精度满足±0.2℃，湿度精度满足±1.5%。（提供CNAS或CMA标志的第三方权威机构检测报告，未提供作负偏离处理。）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9、投标空调微处理控制系统，需与空调机组同品牌，应具备中文液晶显示操作界面，显示屏≥7寸。（投标人提供相关证明文件，加盖电子签章，未提供作负偏离）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10、投标空调机组室内机结构工艺：部件排列合理、整齐；导线颜色和截面合理，布放平整；接插件牢固；进出线符合工程需要；具备抗震措施, 抗震不低于8烈度。（提供CNAS或CMA标志的第三方权威机构检测报告，未提供作负偏离处理。）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投标空调机组室外机应能根据实际安装场地需求免费实现侧出风或上出风，并能在场地受限的情况下以密集安装型室外机(一般为下方两侧进风，上出风，多台室外机可紧贴安装为1列)满足用户要求。本次项目涉及的所有风冷空调外机需集中安装在要在5层室外（裙楼屋面），可用空间约5.5m（宽）*17m（长），该空间目前有待替换的三台水冷机组和水泵等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12、投标空调机组室外机具备低噪音型设计，要求在100%负荷时，距离机组1m处机组噪声不超过55dB。（提供CNAS或CMA标志的第三方权威机构检测报告，未提供作负偏离处理。）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13、投标空调机组在安装过程中因根据现场实际需要免费提供回油组件、避震喉、管路变径等管路组件。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★14、投标空调机组满足室内机与室外机安装的最大当量距离（室内机与室外机之间单个制冷回路的气管或液管总长度）不小于40米；在选配管路延长组件后要求最大总长度不小于80米。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15、投标空调机组满足内外机最大正高差（室外机相对室内机在上方时，室内机与室外机安装的垂直距离)不小于15米。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16、投标空调机组可采用电极式或远红外式加湿器，若采用电极式则其加湿罐应可拆卸，可调节，可单独更换电极。空调机组加湿器加湿量应不小于5kg/h。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★17、下送风空调机组可选配风机下沉组件，也可以按现场情况选配非下沉风机。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投标人需要对现有机房水冷空调拆除与风冷空调安装过程做好机房高温预防与机房水管拆除过程中的风险预防，做好应急预案，确保机房温度不超35度，需要在30分钟将机房温度降至28度以下，不可影响现网设备稳定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19、投标空调机组在正常使用条件下，室内温度控制范围18℃~30℃并可根据用户需求调整，温度调节精度应可达到设定点±1℃。温度波动超限发出远程报警信号。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20、投标空调机组在正常使用条件下，室内相对湿度控制范围40%～60%,控制精度应可达到设定点±10%;当选配加湿器时，室内相对湿度控制范围40%～70%,控制精度应可达到设定点±5%。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21、投标空调机组的显示器须为全中文触摸式。须能显示工作状态(制冷、加热、加湿、除湿)、机组运行参数等，并能储存及显示100条以上历史告警信息。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22、投标空调机组所配置监控接口应支持RS485、RS232/422、IP等，并可根据用户需求灵活配置。可提供本地和远端两种控制模式，自动进行启停切换和数据保存，具有工作状态、报警信号远端传送和控制功能。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23、投标空调机组具备与其它系统联动功能。应预留火灾、烟感等报警以及与其它安全器件联锁接口。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★24、投标空调机组控制系统应能接入机房动环监控系统，将组网机组的状态、参数等信息上传至远程监控中心，应能由远程动环监控终端进行参数设置、功能设置。</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下送风风冷精密空调</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★1、机房专用下送风风冷精密空调空调≥80KW，室内机额定风量≥16500m³/h。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★2、投标空调机组室内机尺寸以实际需求定制。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★3、投标空调机组能效比(EER)≥4.0。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★4、投标空调机组采用的压缩机类型须为变频式涡旋压缩机。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★5、投标空调机组室内风机必须采用高效可靠的EC风机。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★6、投标房间级空调机组室内机须100%全正面维护。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7、投标空调机组为节能型空调，通过国家节能产品认证。具有高能效比（35℃回风）：室外温度35℃条件下EER≥4.0。（提供CNAS或CMA标志的第三方权威机构检测报告，未提供作负偏离处理。）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8、温湿度传感器需为高精度温湿度传感器，要求温度精度满足±0.2℃，湿度精度满足±1.5%。（提供CNAS或CMA标志的第三方权威机构检测报告，未提供作负偏离处理。）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9、投标空调微处理控制系统，需与空调机组同品牌，应具备中文液晶显示操作界面，显示屏≥7寸。（投标人提供相关证明文件，加盖电子签章，未提供的做负偏离处理）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10、投标空调机组室内机结构工艺：部件排列合理、整齐；导线颜色和截面合理，布放平整；接插件牢固；进出线符合工程需要；具备抗震措施, 抗震不低于8烈度。（提供CNAS或CMA标志的第三方权威机构检测报告，未提供作负偏离处理。）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投标空调机组室外机应能根据实际安装场地需求免费实现侧出风或上出风，并能在场地受限的情况下以密集安装型室外机(一般为下方两侧进风，上出风，多台室外机可紧贴安装为1列)满足用户要求。本次项目涉及的所有风冷空调外机需集中安装在要在5层室外（裙楼屋面），可用空间约5.5m（宽）*17m（长），该空间目前有待替换的三台水冷机组和水泵等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12、投标空调机组室外机具备低噪音型设计，要求在100%负荷时，距离机组1m处机组噪声不超过55dB。（提供CNAS或CMA标志的第三方权威机构检测报告，未提供作负偏离处理。）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13、投标空调机组在安装过程中因根据现场实际需要免费提供回油组件、避震喉、管路变径等管路组件。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★14、投标空调机组满足室内机与室外机安装的最大当量距离（室内机与室外机之间单个制冷回路的气管或液管总长度）不小于40米；在选配管路延长组件后要求最大总长度不小于80米。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15、投标空调机组满足内外机最大正高差（室外机相对室内机在上方时，室内机与室外机安装的垂直距离)不小于15米。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16、投标空调机组可采用电极式或远红外式加湿器，若采用电极式则其加湿罐应可拆卸，可调节，可单独更换电极。空调机组加湿器加湿量应不小于8kg/h。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★17、下送风空调机组可选配风机下沉组件，也可以按现场情况选配非下沉风机。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投标人需要对现有机房水冷空调拆除与风冷空调安装过程做好机房高温预防与机房水管拆除过程中的风险预防，做好应急预案，确保机房温度不超35度，需要在30分钟将机房温度降至28度以下，不可影响现网设备稳定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19、投标空调机组在正常使用条件下，室内温度控制范围18℃~30℃并可根据用户需求调整，温度调节精度应可达到设定点±1℃。温度波动超限发出远程报警信号。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20、投标空调机组在正常使用条件下，室内相对湿度控制范围40%～60%,控制精度应可达到设定点±10%;当选配加湿器时，室内相对湿度控制范围40%～70%,控制精度应可达到设定点±5%。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21、投标空调机组的显示器须为全中文触摸式。须能显示工作状态(制冷、加热、加湿、除湿)、机组运行参数等，并能储存及显示100条以上历史告警信息。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22、投标空调机组所配置监控接口应支持RS485、RS232/422、IP等，并可根据用户需求灵活配置。可提供本地和远端两种控制模式，自动进行启停切换和数据保存，具有工作状态、报警信号远端传送和控制功能。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23、投标空调机组具备与其它系统联动功能。应预留火灾、烟感等报警以及与其它安全器件联锁接口。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★24、投标空调机组控制系统应能接入机房动环监控系统，将组网机组的状态、参数等信息上传至远程监控中心，应能由远程动环监控终端进行参数设置、功能设置。</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下送风风冷精密空调</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★1、机房专用下送风风冷精密空调≥100KW；室内机额定风量≥21000m³/h。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★2、投标空调机组室内机尺寸以实际需求定制。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★3、投标空调机组能效比(EER)≥4.0。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★4、投标空调机组采用的压缩机类型须为变频式涡旋压缩机。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★5、投标空调机组室内风机必须采用高效可靠的EC风机。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★6、投标房间级空调机组室内机须100%全正面维护。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7、投标空调机组为节能型空调，通过国家节能产品认证。具有高能效比（35℃回风）：室外温度35℃条件下EER≥4.0。（提供CNAS或CMA标志的第三方权威机构检测报告，未提供作负偏离处理。）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8、温湿度传感器需为高精度温湿度传感器，要求温度精度满足±0.2℃，湿度精度满足±1.5%。（提供CNAS或CMA标志的第三方权威机构检测报告，未提供作负偏离处理。）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8、投标空调微处理控制系统，需与空调机组同品牌，应具备中文液晶显示操作界面，显示屏≥7寸。（投标人提供相关证明文件，加盖电子签章，未提供的做负偏离处理）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10、投标空调机组室内机结构工艺：部件排列合理、整齐；导线颜色和截面合理，布放平整；接插件牢固；进出线符合工程需要；具备抗震措施, 抗震不低于8烈度，（提供CNAS或CMA标志的第三方权威机构检测报告，未提供作负偏离处理。）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投标空调机组室外机应能根据实际安装场地需求免费实现侧出风或上出风，并能在场地受限的情况下以密集安装型室外机(一般为下方两侧进风，上出风，多台室外机可紧贴安装为1列)满足用户要求。本次项目涉及的所有风冷空调外机需集中安装在要在5层室外（裙楼屋面），可用空间约5.5m（宽）*17m（长），该空间目前有待替换的三台水冷机组和水泵等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12、投标空调机组室外机具备低噪音型设计，要求在100%负荷时，距离机组1m处机组噪声不超过55dB（提供CNAS或CMA标志的第三方权威机构检测报告，未提供作负偏离处理。）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13、投标空调机组在安装过程中因根据现场实际需要免费提供回油组件、避震喉、管路变径等管路组件。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★14、投标空调机组满足室内机与室外机安装的最大当量距离（室内机与室外机之间单个制冷回路的气管或液管总长度）不小于40米；在选配管路延长组件后要求最大总长度不小于80米。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15、投标空调机组满足内外机最大正高差（室外机相对室内机在上方时，室内机与室外机安装的垂直距离)不小于15米。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16、投标空调机组可采用电极式或远红外式加湿器，若采用电极式则其加湿罐应可拆卸，可调节，可单独更换电极。空调机组加湿器加湿量应不小于8kg/h。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★17、下送风空调机组可选配风机下沉组件，也可以按现场情况选配非下沉风机。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投标人需要对现有机房水冷空调拆除与风冷空调安装过程做好机房高温预防与机房水管拆除过程中的风险预防，做好应急预案，确保机房温度不超35度，需要在30分钟将机房温度降至28度以下，不可影响现网设备稳定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19、投标空调机组在正常使用条件下，室内温度控制范围18℃~30℃并可根据用户需求调整，温度调节精度应可达到设定点±1℃。温度波动超限发出远程报警信号。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20、投标空调机组在正常使用条件下，室内相对湿度控制范围40%～60%,控制精度应可达到设定点±10%;当选配加湿器时，室内相对湿度控制范围40%～70%,控制精度应可达到设定点±5%。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21、投标空调机组的显示器须为全中文触摸式。须能显示工作状态(制冷、加热、加湿、除湿)、机组运行参数等，并能储存及显示100条以上历史告警信息。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22、投标空调机组所配置监控接口应支持RS485、RS232/422、IP等，并可根据用户需求灵活配置。可提供本地和远端两种控制模式，自动进行启停切换和数据保存，具有工作状态、报警信号远端传送和控制功能。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23、投标空调机组具备与其它系统联动功能。应预留火灾、烟感等报警以及与其它安全器件联锁接口。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★24、投标空调机组控制系统应能接入机房动环监控系统，将组网机组的状态、参数等信息上传至远程监控中心，应能由远程动环监控终端进行参数设置、功能设置。</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上送风风冷精密空调</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★1、机房专用上送风风冷精密空调≥35KW，室内机额定风量≥7200m³/h。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★2、投标空调机组室内机尺寸以实际需求定制。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★3、投标空调机组能效比(EER)≥4.0。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★4、投标空调机组采用的压缩机类型须为变频式涡旋压缩机。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★5、投标空调机组室内风机必须采用高效可靠的EC风机。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★6、投标房间级空调机组室内机须100%正面维护。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7、投标空调机组为节能型空调，通过国家节能产品认证。具有高能效比（35℃回风）：室外温度35℃条件下EER≥4.0。（提供CNAS或CMA标志的第三方权威机构检测报告，未提供作负偏离处理。）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8、为保证投标空调机组控制的精细程度，温湿度传感器需为高精度温湿度传感器，要求温度精度满足±0.2℃，湿度精度满足±1.5%（提供CNAS或CMA标志的第三方权威机构检测报告，未提供作负偏离处理。）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9、投标空调微处理控制系统，需与空调机组同品牌，应具备中文液晶显示操作界面，显示屏≥7寸，（投标人提供相关证明文件，加盖电子签章，未提供的做负偏离处理）。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10、投标空调机组室内机结构工艺：部件排列合理、整齐；导线颜色和截面合理，布放平整；接插件牢固；进出线符合工程需要；具备抗震措施, 抗震不低于8烈度，（提供CNAS或CMA标志的第三方权威机构检测报告，未提供作负偏离处理。）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投标空调机组室外机应能根据实际安装场地需求免费实现侧出风或上出风，并能在场地受限的情况下以密集安装型室外机(一般为下方两侧进风，上出风，多台室外机可紧贴安装为1列)满足用户要求。本次项目涉及的所有风冷空调外机需集中安装在要在5层室外（裙楼屋面），可用空间约5.5m（宽）*17m（长），该空间目前有待替换的三台水冷机组和水泵等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12、投标空调机组室外机具备低噪音型设计，要求在100%负荷时，距离机组1m处机组噪声不超过55dB（提供CNAS或CMA标志的第三方权威机构检测报告，未提供作负偏离处理。）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13、投标空调机组在安装过程中因根据现场实际需要免费提供回油组件、避震喉、管路变径等管路组件。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★14、投标空调机组满足室内机与室外机安装的最大当量距离（室内机与室外机之间单个制冷回路的气管或液管总长度）不小于40米；在选配管路延长组件后要求最大总长度不小于80米。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15、投标空调机组满足内外机最大正高差（室外机相对室内机在上方时，室内机与室外机安装的垂直距离)不小于15米。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16、投标空调机组可采用电极式或远红外式加湿器，若采用电极式则其加湿罐应可拆卸，可调节，可单独更换电极。空调机组加湿器加湿量应不小于5kg/h。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★17、下送风空调机组可选配风机下沉组件，也可以按现场情况选配非下沉风机。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投标人需要对现有机房水冷空调拆除与风冷空调安装过程做好机房高温预防与机房水管拆除过程中的风险预防，做好应急预案，确保机房温度不超35度，需要在30分钟将机房温度降至28度以下，不可影响现网设备稳定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19、投标空调机组在正常使用条件下，室内温度控制范围18℃~30℃并可根据用户需求调整，温度调节精度应可达到设定点±1℃。温度波动超限发出远程报警信号。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20、投标空调机组在正常使用条件下，室内相对湿度控制范围40%～60%,控制精度应可达到设定点±10%;当选配加湿器时，室内相对湿度控制范围40%～70%,控制精度应可达到设定点±5%。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21、投标空调机组的显示器须为全中文触摸式。须能显示工作状态(制冷、加热、加湿、除湿)、机组运行参数等，并能储存及显示100条以上历史告警信息。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22、投标空调机组所配置监控接口应支持RS485、RS232/422、IP等，并可根据用户需求灵活配置。可提供本地和远端两种控制模式，自动进行启停切换和数据保存，具有工作状态、报警信号远端传送和控制功能。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23、投标空调机组具备与其它系统联动功能。应预留火灾、烟感等报警以及与其它安全器件联锁接口。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★24、投标空调机组控制系统应能接入机房动环监控系统，将组网机组的状态、参数等信息上传至远程监控中心，应能由远程动环监控终端进行参数设置、功能设置。</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上送风风冷精密空调</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★1、机房专用上送风风冷精密空调≥50KW，室内机额定风量≥10500m³/h。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★2、投标空调机组室内机尺寸以实际需求定制。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★3、投标空调机组能效比(EER)≥4.0。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★4、投标空调机组采用的压缩机类型须为变频式涡旋压缩机。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★5、投标空调机组室内风机必须采用高效可靠的EC风机。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★6、投标房间级空调机组室内机须100%全正面维护。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7、投标空调机组为节能型空调，通过国家节能产品认证。具有高能效比（35℃回风）：室外温度35℃条件下EER≥4.0，（提供CNAS或CMA标志的第三方权威机构检测报告，未提供作负偏离处理。）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8、温湿度传感器需为高精度温湿度传感器，要求温度精度满足±0.2℃，湿度精度满足±1.5%，（提供CNAS或CMA标志的第三方权威机构检测报告，未提供作负偏离处理。）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9、投标空调微处理控制系统，需与空调机组同品牌，应具备中文液晶显示操作界面，显示屏≥7寸，（投标人提供相关证明文件，加盖电子签章，未提供的作负偏离处理）。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10、投标空调机组室内机结构工艺：部件排列合理、整齐；导线颜色和截面合理，布放平整；接插件牢固；进出线符合工程需要；具备抗震措施, 抗震不低于8烈度（提供CNAS或CMA标志的第三方权威机构检测报告，未提供作负偏离处理。）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投标空调机组室外机应能根据实际安装场地需求免费实现侧出风或上出风，并能在场地受限的情况下以密集安装型室外机(一般为下方两侧进风，上出风，多台室外机可紧贴安装为1列)满足用户要求。本次项目涉及的所有风冷空调外机需集中安装在要在5层室外（裙楼屋面），可用空间约5.5m（宽）*17m（长），该空间目前有待替换的三台水冷机组和水泵等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12、投标空调机组室外机具备低噪音型设计，要求在100%负荷时，距离机组1m处机组噪声不超过55dB；（提供CNAS或CMA标志的第三方权威机构检测报告，未提供作负偏离处理。）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13、投标空调机组在安装过程中因根据现场实际需要免费提供回油组件、避震喉、管路变径等管路组件。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★14、投标空调机组满足室内机与室外机安装的最大当量距离（室内机与室外机之间单个制冷回路的气管或液管总长度）不小于40米；在选配管路延长组件后要求最大总长度不小于80米。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15、投标空调机组满足内外机最大正高差（室外机相对室内机在上方时，室内机与室外机安装的垂直距离)不小于15米。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16、投标空调机组可采用电极式或远红外式加湿器，若采用电极式则其加湿罐应可拆卸，可调节，可单独更换电极。空调机组加湿器加湿量应不小于5kg/h。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★17、下送风空调机组可选配风机下沉组件，也可以按现场情况选配非下沉风机。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投标人需要对现有机房水冷空调拆除与风冷空调安装过程做好机房高温预防与机房水管拆除过程中的风险预防，做好应急预案，确保机房温度不超35度，需要在30分钟将机房温度降至28度以下，不可影响现网设备稳定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19、投标空调机组在正常使用条件下，室内温度控制范围18℃~30℃并可根据用户需求调整，温度调节精度应可达到设定点±1℃。温度波动超限发出远程报警信号。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20、投标空调机组在正常使用条件下，室内相对湿度控制范围40%～60%,控制精度应可达到设定点±10%;当选配加湿器时，室内相对湿度控制范围40%～70%,控制精度应可达到设定点±5%。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21、投标空调机组的显示器须为全中文触摸式。须能显示工作状态(制冷、加热、加湿、除湿)、机组运行参数等，并能储存及显示100条以上历史告警信息。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22、投标空调机组所配置监控接口应支持RS485、RS232/422、IP等，并可根据用户需求灵活配置。可提供本地和远端两种控制模式，自动进行启停切换和数据保存，具有工作状态、报警信号远端传送和控制功能。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23、投标空调机组具备与其它系统联动功能。应预留火灾、烟感等报警以及与其它安全器件联锁接口。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★24、投标空调机组控制系统应能接入机房动环监控系统，将组网机组的状态、参数等信息上传至远程监控中心，应能由远程动环监控终端进行参数设置、功能设置。</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列间空调</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★1、机房专用风冷精密列间空调≥30KW；室内机额定风量≥5500m³/h。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★2、投标空调机组室内机尺寸以实际需求定制。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★3、投标空调机组能效比(EER)≥4.0。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★4、投标空调机组采用的压缩机类型须为变频式涡旋压缩机。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★5、投标空调机组室内风机必须采用高效可靠的EC风机。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6、投标空调机组为节能型空调，通过国家节能产品认证。具有高能效比（37℃回风）：室外温度35℃条件下EER≥4.0（提供CNAS或CMA标志的第三方权威机构检测报告，未提供作负偏离处理。）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7、温湿度传感器需为高精度温湿度传感器，要求温度精度满足±0.2℃，湿度精度满足±1.5%（提供CNAS或CMA标志的第三方权威机构检测报告，未提供作负偏离处理。）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8、投标列间空调机组室内机出风侧配置至少2个温度传感器，回风侧配置至少1个温湿度传感器，传感器位置由用户确定，并同时支持平均温度控制或最大温度控制方式，传感器及线缆固定方式需牢固、美观。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9、投标空调微处理控制系统，需与空调机组同品牌，应具备中文液晶显示操作界面，显示屏≥7寸，（投标人提供相关证明文件，加盖电子签章，未提供的负偏离处理）。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10、投标空调机组室内机结构工艺：部件排列合理、整齐；导线颜色和截面合理，布放平整；接插件牢固；进出线符合工程需要；具备抗震措施, 抗震不低于8烈度（提供CNAS或CMA标志的第三方权威机构检测报告，未提供作负偏离处理。）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投标空调机组室外机应能根据实际安装场地需求免费实现侧出风或上出风，并能在场地受限的情况下以密集安装型室外机(一般为下方两侧进风，上出风，多台室外机可紧贴安装为1列)满足用户要求。本次项目涉及的所有风冷空调外机需集中安装在要在5层室外（裙楼屋面），可用空间约5.5m（宽）*17m（长），该空间目前有待替换的三台水冷机组和水泵等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12、投标空调机组室外机具备低噪音型设计，要求在100%负荷时，距离机组1m处机组噪声不超过55dB（提供CNAS或CMA标志的第三方权威机构检测报告，未提供作负偏离处理。）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13、投标空调机组在安装过程中因根据现场实际需要免费提供回油组件、避震喉、管路变径等管路组件。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★14、投标空调机组满足室内机与室外机安装的最大当量距离（室内机与室外机之间单个制冷回路的气管或液管总长度）不小于40米；在选配管路延长组件后要求最大总长度不小于80米。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15、投标空调机组满足内外机最大正高差（室外机相对室内机在上方时，室内机与室外机安装的垂直距离)不小于15米。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16、投标空调机组可采用电极式或远红外式加湿器，若采用电极式则其加湿罐应可拆卸，可调节，可单独更换电极。空调机组加湿器加湿量应不小于1.5kg/h。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投标人需要对现有机房水冷空调拆除与风冷空调安装过程做好机房高温预防与机房水管拆除过程中的风险预防，做好应急预案，确保机房温度不超35度，需要在30分钟将机房温度降至28度以下，不可影响现网设备稳定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18、投标空调机组在正常使用条件下，室内温度控制范围18℃~30℃并可根据用户需求调整，温度调节精度应可达到设定点±1℃。温度波动超限发出远程报警信号。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19、投标空调机组在正常使用条件下，室内相对湿度控制范围40%～60%,控制精度应可达到设定点±10%;当选配加湿器时，室内相对湿度控制范围40%～70%,控制精度应可达到设定点±5%。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20、投标空调机组的显示器须为全中文触摸式。须能显示工作状态(制冷、加热、加湿、除湿)、机组运行参数等，并能储存及显示100条以上历史告警信息。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21、投标空调机组所配置监控接口应支持RS485、RS232/422、IP等，并可根据用户需求灵活配置。可提供本地和远端两种控制模式，自动进行启停切换和数据保存，具有工作状态、报警信号远端传送和控制功能。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22、投标空调机组具备与其它系统联动功能。应预留火灾、烟感等报警以及与其它安全器件联锁接口。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★23、投标空调机组控制系统应能接入机房动环监控系统，将组网机组的状态、参数等信息上传至远程监控中心，应能由远程动环监控终端进行参数设置、功能设置。</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列间空调</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★1、机房专用风冷列间精密空调≥40KW，室内机额定风量≥8500m³/h。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★2、投标空调机组室内机尺寸以实际需求定制。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★3、投标空调机组能效比(EER)≥4.0。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★4、投标空调机组采用的压缩机类型须为变频式涡旋压缩机。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★5、投标空调机组室内风机必须采用高效可靠的EC风机。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6、投标空调机组为节能型空调，通过国家节能产品认证。具有高能效比（37℃回风）：室外温度35℃条件下EER≥4.0（提供CNAS或CMA标志的第三方权威机构检测报告，未提供作负偏离处理。）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7、温湿度传感器需为高精度温湿度传感器，要求温度精度满足±0.2℃，湿度精度满足±1.5%（提供CNAS或CMA标志的第三方权威机构检测报告，未提供作负偏离处理。）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8、投标列间空调机组室内机出风侧配置至少2个温度传感器，回风侧配置至少1个温湿度传感器，传感器位置由用户确定，并同时支持平均温度控制或最大温度控制方式，传感器及线缆固定方式需牢固、美观。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9、投标空调微处理控制系统，需与空调机组同品牌，应具备中文液晶显示操作界面，显示屏≥7寸，（投标人提供相关证明文件，加盖电子签章，未提供的负偏离处理）。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10、投标空调机组室内机结构工艺：部件排列合理、整齐；导线颜色和截面合理，布放平整；接插件牢固；进出线符合工程需要；具备抗震措施, 抗震不低于8烈度（提供CNAS或CMA标志的第三方权威机构检测报告，未提供作负偏离处理。）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投标空调机组室外机应能根据实际安装场地需求免费实现侧出风或上出风，并能在场地受限的情况下以密集安装型室外机(一般为下方两侧进风，上出风，多台室外机可紧贴安装为1列)满足用户要求。本次项目涉及的所有风冷空调外机需集中安装在要在5层室外（裙楼屋面），可用空间约5.5m（宽）*17m（长），该空间目前有待替换的三台水冷机组和水泵等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12、投标空调机组室外机具备低噪音型设计，要求在100%负荷时，距离机组1m处机组噪声不超过55dB（提供CNAS或CMA标志的第三方权威机构检测报告，未提供作负偏离处理。）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13、投标空调机组在安装过程中因根据现场实际需要免费提供回油组件、避震喉、管路变径等管路组件。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★14、投标空调机组满足室内机与室外机安装的最大当量距离（室内机与室外机之间单个制冷回路的气管或液管总长度）不小于40米；在选配管路延长组件后要求最大总长度不小于80米。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15、投标空调机组满足内外机最大正高差（室外机相对室内机在上方时，室内机与室外机安装的垂直距离)不小于15米。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16、投标空调机组可采用电极式或远红外式加湿器，若采用电极式则其加湿罐应可拆卸，可调节，可单独更换电极。空调机组加湿器加湿量应不小于1.5kg/h。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投标人需要对现有机房水冷空调拆除与风冷空调安装过程做好机房高温预防与机房水管拆除过程中的风险预防，做好应急预案，确保机房温度不超35度，需要在30分钟将机房温度降至28度以下，不可影响现网设备稳定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18、投标空调机组在正常使用条件下，室内温度控制范围18℃~30℃并可根据用户需求调整，温度调节精度应可达到设定点±1℃。温度波动超限发出远程报警信号。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19、投标空调机组在正常使用条件下，室内相对湿度控制范围40%～60%,控制精度应可达到设定点±10%;当选配加湿器时，室内相对湿度控制范围40%～70%,控制精度应可达到设定点±5%。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20、投标空调机组的显示器须为全中文触摸式。须能显示工作状态(制冷、加热、加湿、除湿)、机组运行参数等，并能储存及显示100条以上历史告警信息。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21、投标空调机组所配置监控接口应支持RS485、RS232/422、IP等，并可根据用户需求灵活配置。可提供本地和远端两种控制模式，自动进行启停切换和数据保存，具有工作状态、报警信号远端传送和控制功能。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22、投标空调机组具备与其它系统联动功能。应预留火灾、烟感等报警以及与其它安全器件联锁接口。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★23、投标空调机组控制系统应能接入机房动环监控系统，将组网机组的状态、参数等信息上传至远程监控中心，应能由远程动环监控终端进行参数设置、功能设置。</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空调冷媒管</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1.制冷剂空调冷媒管:气管：25/1.5;液管：19/1.2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2.≥1600m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1600</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空调冷媒管</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1.制冷剂液体管:Φ22.2X1.2，制冷剂气体管:Φ28.6X1.2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2.≥100m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空调冷媒管</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1.制冷剂空调冷媒管:气管：19.05/0.8;液管：12.7/0.8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2.≥210m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210</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连接电缆</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1.电源线:3*ZA-BVV500V-2.5mm²，控制线:2*ZA-BVV500V-1.5mm²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2.≥1900m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1900</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制冷剂</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★1.R410A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★2.≥1700公斤</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公斤</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1700</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霍尼韦尔</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地板拆除、换新</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2.≥870平方米</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平方米</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870</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冷水机组拆除</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1.现有3套冷水主机及其配套水泵、管道、蓄水池等，所有水冷系统相关全部拆除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2.≥3套</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水管管路拆除</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1.所有水管管路</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原有水冷空调拆除</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1.机房内现有冷冻水空调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2.≥38套</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槽钢底座</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新装5层外机平台外机槽钢底座，一层室外槽钢底座</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辅材</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冷媒管支架，保温等</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冷媒管走线槽</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1.800mm宽*300mm高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2.≥50米</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冷媒管走线架</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1.800mm宽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2.≥40米</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机房群控系统</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机房群控系统</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★1.上述所述所有空调为同一品牌。空调安装由原厂安装。投标人需提供书面承诺加盖电子公章。未提供承诺作无效标处理。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2.施工过程中的涉及的其他材料由投标人免费提供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3.上述涉及相关产品规格和数量未明确的参照系统图纸</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封闭通道框架</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1、包含封闭冷通道内固定部件；包含但不限于竖直框、横梁、舱体两端封板构件等；包含舱内各组件、部件间连接、固定和密封的配件；包含通道内照明灯具、柜顶及跨列走线桥架或线槽；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标封闭冷通道覆盖区域及舱内设备须纳入所在机房的消防系统管控范围。消防系统的设备及管网由楼宇消防工程统一建设，封闭冷通道不包含消防专用设备，封闭冷通道所含通道门、天窗、列间空调、烟雾传感器等须与机房消防系统联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3、投标的封闭冷通道房间空调场景的结构型式，框架与机柜及其他功能柜接缝处应采用密封处理。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4、投标的封闭冷通道通道顶部及门楣处应预留监控摄像头、烟雾报警器、温度传感器等监测器件的安装位置，门框或舱体两端封板构件处应预留门禁的安装位置。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5、投标的封闭冷通道通道标准宽度按用户要求根据实际情况在800mm-1500mm范围内合理调整定制。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投标人须提供不依赖于任何机柜支撑且可独立安装的封闭冷通道框架结构组件，包含竖直框（架）和横梁等框架部件。相邻两个竖直框（架）间须在前后侧各架设一根横梁。封闭冷通道的通道封闭结构件、天窗支架、柜顶及跨列走线桥架等部件安装固定在竖直框（架）上，框架的结构强度须满足全部部件的承重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投标的竖直框（架）及横梁应采用厚度不小于2mm的高强度A级优质冷轧钢板材料加工而成，封闭冷通道竖直框（架）的高度应大于舱内网络机柜高度100mm，框架横梁与机柜顶部之间应设有阻燃无毒材质的密封材料。竖直框（架）的深度应与用户要求的网络机柜深度一致，竖直框（架）的宽度应根据结构强度要求在60mm～100mm范围内预制，竖直框中支柱型材应为横截面外廓尺寸不小于60×50mm的U型、方管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8、投标的封闭冷通道竖直框（架），相邻两个竖直框（架）间隔应不大于3个柜位的跨度。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投标的封闭冷通道内网络机柜及列间空调的柜体间应留有1～3mm的间距，柜体间及柜体与结构框架间应设置有不少于上中下三处的连接件，连接件应便于在封闭冷通道投入使用后将内部任一柜体单独拆除替换。柜体间及柜体与结构框架间隙应设有阻燃无毒材质的密封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10、投标的封闭冷通道产品在投入使用后，内部任一柜体应能同时满足向前侧和后侧通道拆除撤出的要求。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投标人应提供通用的结构框架和通道封闭组件，须满足双列机柜和单列机柜的建设场景，应支持水泥地面、防静电地板和自有底座安装的安装方式。投标的通道及框架组件须包含配合机房建筑布局所需的包柱及假墙的框架和板材、预留柜位的封闭板材。</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212</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通道端门-手动滑动门</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★1、投标的封闭冷通道通道的两端须按用户要求设置封闭性良好的滑动门或转动门，门洞按用户要求提供2000～2600mm的高度。通道门的锁止及自动门的开合须与门禁和消防系统联动。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2、投标的滑动门应按需求要求配置开合方式。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投标的滑动门应采用整块钢化玻璃型式，转动门应采用金属框架镶嵌钢化玻璃形式。滑动门的钢化玻璃厚度应不小于8mm，应有避免两扇门在安装和运行中错位、门周缝隙过大的纠正措施。转动门的金属材质厚度应不小于1.5mm，钢化玻璃厚度不小于4mm，玻璃镶嵌面积应不小于门板面积的60%。通道门的接缝、门周缝处应配置胶条、毛刷等装置，保证封闭冷通道的气密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4、投标的滑动通道门打开和关闭应滑动顺畅，无异响及停滞，关闭后应严密无缝隙。通道门外观不能出现明显的折边、凹槽。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5、投标的滑动通道门应具备自动闭门功能。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6、投标的滑动通道门在手动状态时可正常开启、无阻挡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7、投标的滑动门通过顶置吊装结构固定于电动滑动装置上，滑动开启时不占用微模块投影面积之外的空间。电动滑动门要求与门禁、消防信号联动。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8、投标的通道门内外侧应设计开门把手,开门把手应不妨碍门板的完全开合，把手尺寸及样式按用户要求提供。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9、投标的通道门应配套舱体两端封板构件，舱体两端封板构件应为框架式结构，应能承载门框、门滑轨等结构，应能嵌入封闭冷通道控制触控屏。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10、投标的通道门洞下方不得有门槛等影响通道平整的结构。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11、投标的通道门外预留门禁安装接口，通道内设置出门按钮。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12、投标的通道门楣应安装声光报警器。应能按用户要求在门楣上上预留声光报警器安装接口。</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扇</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通道顶板-天窗</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★1、冷通道上部翻转天窗开启后悬停位置确保冷通道的净高不小于2000mm，开启角度可调,且正常翻转不小于50度，并且不影响日常维护工作和维护人员安全。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2、天窗透光材质使用覆膜钢化玻璃，钢化玻璃厚度不小于5mm。保证人员安全。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3、有机玻璃满足国家标准GB50222《建筑内部装修设计防火规范》要求，阻燃等级达到B1级，并提供防火等级认证报告，未提供的作负偏离处理。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钢化玻璃符合国家标准GB15763.2-2005《建筑用安全玻璃》要求。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翻转天窗通过电磁锁控制打开，达到无间断级联方式控制，天窗磁力锁吸附力不小于60KG(可吸附起表面平整60KG物体)，磁力满足天窗正常使用要求。翻转天窗可与消防信号联动，在接收到火灾告警信号时，控制电磁锁掉电开启天窗。</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189</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包柱</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通道假墙封堵-金属材料</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照明组件</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1、封闭冷通道内应在封闭通道两侧的柜顶上方结构框架或天窗支架处装有连续的灯带式灯具，灯带外观应与封闭冷通道结构表面及内饰样式配合。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2、封闭冷通道应采用Ⅰ类灯具，灯具的供电线路应有保护线，保护线应与金属灯具外壳做电气连接。封闭冷通道内照明应均匀设置，照度值应不低于300（lx）。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3、投标人应按用户要求提供智控照明功能，应能实现人来灯亮，人走灯延时灭。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4、封闭冷通道内部照明灯具包含配电电缆，电缆由同层照明配电箱连至封闭冷通道内，长度根据现场情况确定。</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天窗控制</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1.含天窗控制器，翻窗磁脱</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1.施工过程中的涉及的其他材料，由投标人免费提供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2.上述涉及相关产品规格和数量未明确的参照系统图纸</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温湿度一体传感器</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工作电压：DC12V～DC24V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2.工作电流： &lt;30mA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3.通讯接口：串行输出RS485，MODBUS 协议输出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4.测量范围：温度：-20℃～70℃；湿度：0～100%rh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5.测量精度：温度：±0.5℃；湿度：±3%rh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6.显示方式：LCD液晶屏点阵显示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7.安装方式：室内墙面安装，天花板吸顶安装、支持选配自带4个强力吸铁石可直接吸附安装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8.材料：ABS树脂；</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WS302M2A</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烟雾探测器</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光电离子型烟雾探测器，光学迷宫设计、采用低功耗CMOS微处理器、具有手动测试、手动复位功能、开关量输出接口、吊顶安装；</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JTY-GD-SDLH-96A</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精密空调监控模块</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1.通过精密空调提供的通讯接口及通讯协议进行二次解析整合监控、监控空调的风机、压缩机、加湿器、出回风温度等；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接入动环监控系统：系统中做每台空调的界面、每台空调485接口接线、测试返回数据，写驱动程序、策略设置、阈值设置、报警设置、联动功能设置等工作，具体监测的内容和控制的内容与提供的该型号通讯协议规定的完全一致。</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漏水检测控制模块</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≥1路区域漏水检测，检测到漏水告警。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≥1路干接点输出。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3.具备RS485通讯，Modbus RTU 协议。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≥1路漏水感应绳接入，最大支持 300 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5.电源具有过流过压和防反接功能。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≥4 档漏水灵敏度，可通过三位拨码开关进行设置。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7.带工作状态、漏水状态指示灯。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8.电压范围 DC 9V-27V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9.为保证产品质量需提供EMC及ROHS认证证书。</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祥为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XW-PC</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空调漏水检测绳</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缠绕型防腐蚀漏水绳、≥5M线长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数量:65根</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祥为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XW1100-5M</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漏水监控嵌入式模块</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1.漏水传感器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2.对接动环监控系统，并在3D图中实时显示，报警出现时在软件相应位置变红、设置漏水报警阈值等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3.数量:9套</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YDE-WDT-P2YDE-WDT-P2</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列头柜综合管控模块</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1.根据列头柜提供的通讯协议实时监测列头柜输入/输出的电流、电压、功率、频率及各路空开通断等；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2.对接动环监控系统，在系统中做每个列头柜界面、每个列头柜485接线、测试返回数据，写驱动程序、策略设置、阈值设置、报警设置、联动功能设置等工作</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开关量采集模块</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1.开关量输入扩展模块，8路开关量输入，RS485通讯上联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2.数量≥8个</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COM4</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嵌入式监控采集器</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★1.≥19英寸、机架式、工业控制级嵌入式采集器、坚固、防震、防潮、防尘、耐高温多插槽和易于扩充、24小时*365天不间断运行、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不少于9路独立注1的互相隔离注2的串行智能设备接口，保留4路RS232/RS485通用接口，其余均为RS485通用接口不少于8路AI/DI通用测量接口， 并且要有蓄电池专用接口（2路总电压）、2路烟感、2路水浸专用接口、不少于5路DO，触点容量1A/30V DC，投标采集器硬件接口应符合以上要求，（提供具有CNAS或CMA标识的检测报告，未提供作无效标处理）。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2.采集器具备信息技术安全性，网络安全符合国家对智能联网产品信息技术、网络安全的要求，需满足以下要求：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GB/T 18336《信息技术 安全技术 信息技术安全评估准则》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JCTJ 005-2016《信息安全技术 通用渗透测试检测条件》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CSPSH-GF-001《信息安全技术 安防类智能联网产品网络安全技术规范》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★3.投标采集器投标人需要提供国家权威机构出具《社会公共安全产品认证》证书,未提供作无效标处理。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4.现场采集设备应满足环保要求，产品应符合GB/T 26572-2011 《电子电气产品中限用物质的限量要求》检测标准的要求。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★5.投标采集器性能，RAM,ROM应大于512M。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6.现场采集设备应满足安规要求，产品应符合GB/T 4939.1-2022 《音视频、信息技术和通信技术设备第1部分：安全要求》检测标准的要求。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GFSU-2012IA</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管线及辅材</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1.配套RVSP屏蔽线、六类网线、线管等辅材</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定制</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UPS监控模块</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1.实现对UPS主机的状态、输入、输出电压、电流、频率、功率因数、逆变器状态、负载、电池状态、旁路状态、报警等进行监控，具体监测的内容和控制的内容与提供的该型号通讯协议规定的完全一致。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将监控信息上传至动环监控系统。</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蓄电池采集器</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对单节蓄电池进行汇聚监控、≥19英寸机架式安装通过RS485或网络进行上联、主机自带LED显示屏，本地直接显示显示相关数据及故障报警异常节点，主机自带设置按键、方便本地设置阈值及相关配置、同时可以通过RS485和SNMP网络协议进行上连，内置WEB服务，可通过IP地址进行直接访问查看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将监控信息上传至动环监控系统。</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CM-02N</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单电池内阻监控模块</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监控单节电池的电压、内阻、温度参数及运行情况，出现异常情况时通过软件进行报警；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1、供电电+A14:D15源：蓄电池两端直接取电12V/6V/2V型；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2、通讯接口： RJ11接口；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3、电压范围：1.5--3V(2V)4.8—7.8V(6V)10--15V(12V)；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4、电压精度：±0.5％；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5、内阻测量范围：0.05至250mΩ；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6、内阻一致性：&lt;=±2%；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7、温度测量范围：-20至+70°C；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8、温度精度：±0.5°C；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9、器件功耗：2V型：小于110毫瓦12V（6V）型：小于250毫瓦；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10、为确保产品不会对UPS系统产生干扰和影响，蓄电池监控需提供CE-LVD认证、CE-EMC认证、ROHS认证、IP等级认证证书；</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1200</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H3G-TA-02</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电池监控采集</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1、双色电池监控采集线，含2个U型夹，采集线为成品2根汇聚型，红黑双色</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1200</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维谛技术定制</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电池电流互感器</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1、开口霍尔直流电流变送器,±12~15VDC供电,±4V输出,1%FS,Φ40.5mm-0~±500A--10~50℃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BM-C500V</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电池温度电流采集模块</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1、监控组温、组电流，每组配1个</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H3G-TA-02</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蓄电池综合监控管理软件</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1、对接动环监控系统：在动环软件中展示单节电池的电压、内阻、温度、根据每组数量进行页面布局、设置报警策略、报警阈值、修改相关参数等</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氢气浓度检测</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1、测量电池室氢气浓度。气体检测精度：±3%FS；温度检测精度：±2@25℃；工作电压：24VDC(12 ~ 30VDC)；工作电流：-1 路RS-485 接口，支持MODBUS ASCII 协议；外壳材质：铝合金隔爆外壳；防爆等级：Ex IIC T6；工作环境：温度---20℃ ~ +60℃，湿度--10% ~ 95% RH（无凝露）。</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JQB-G-LEL/H2NS1W</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开关量采集</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1、开关量输入扩展模块，8路开关量输入，RS485通讯上联</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BC-5016</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监控主机</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≥1颗16核CPU，主频≥ 2.1GHz/≥2*32G内存/≥1个存储阵列卡≥2G缓存；支持RAID 0/1/5/10;/ ≥3*1.2TB SAS 10K 2.5寸硬盘/≥标配4千兆端口/2个800W//操作系统国产操作系统，数据库采用国产数据库。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★2.两台主机采用双活模式，确保其中一台宕机不影响监控性能。</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H3C UniServer R4930</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数据中心机房动环监控系统</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★1、用户可通过报警事件自定义输入事件原因内容进行记录存入数据库，用户输入的确认事件记录可通过软件导出进行分析；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★2、可按周、月、年查询导出某一（类型）传感器每天一个数据记录，如查询半年内每天一个温湿度数值，便于对数据进行分析处理，实时掌握每天的运行曲线；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机房能耗用电数据分析，管理人员可以直观的在软件中查看每个机柜的电压、电流、功率、有功电能、运行状态等相关参数；管理人员可以通过软件按天、周、月、季度等方式查看时间段内用电的电度数量，并可以导出相关数据；软件中有电费计价定义，可设置不同时间段的用电电价、如峰段时刻、平段时刻、谷段时刻；软件中可查询机房能耗分类报表，并导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告警风暴过滤：选定告警主要事件，将并发的告警事件作为次要事件进行过滤，只对外发出主要告警事件；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5、故障等级不少于4级：一级告警、二级告警、三级告警、四级告警，一级报警为红色，二级报警为橙色，三级报警为黄色 ，四级报警为蓝色；报警事件为：未确诊报警、已确诊报警、已解除报警三栏，当机房出现异常情况时自动弹出对话框显示报警内容的级别，报警异常点的位置等（提供软件界面截图，未提供的负偏离处理）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软件自动循环播放：软件部署好后，按功能分为主界面、UPS界面、市电界面、精密空调等二级界面，只需要在主界面点击自动轮循，就可实现所有界面自动循环播放，管理人员无需动手即可从全局掌握每个机房的运行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★7、友好的人机界面：3D 效果主界面，系统软件布局更清晰，主界面根据用户关注内容可以摆放空调、UPS、温湿度等重要参数的柱状图、饼状图、曲线图等。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★8、平台未来可支持集成服务器、网络设备、存储等IT监控纳入到统一平台，统一管理。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★10.国密门禁与视频监控将告警信息输入给动环系统，在动环系统页面显示门禁与视频监控告警情况。</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SiteWeb6</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3D可视化</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1.3D建模、采用3D编辑器对机房楼层房间分布进行1:1比例绘制，并且可以对墙面、地板进行贴图材质的修改，3D布局鸟瞰图图示定位展现界面UI定制、根据机房的实际布局画出3D图，在相同位置显示数据。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2.资产可视化：要求同时支持2D列表，3D模型数据交互展示：                                                                                                         资产管理功能模块实现IT资产类型、资产品牌、资产维保等纬度的资产基础信息统计管理，支持对IT资产管理对资产增、删、改、查。2D添删资产，3D模型自动生成。客户界面下：客户根据实际需要添加、删减资产字段，按照客户表格格式批量EXCEL资产批量导入。3D资产管理：点击3D机柜模型展现机柜设备U位占用情况、点击机柜具体设备展示该设备数据总览，核心数据、详细数据、实时告警、历史告警、历史曲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3.容量可视化：图表展示：容量管理实现空间维度的容量管理。2、3D展示容量：从三维空间展示空间实际情况与容量占比。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4.巡检可视化：系统支持通过点击鼠标在当前 3d场景上绘制出可视的巡检路线，系统根据绘制的路线进行第一人称视角的3D漫游巡险，巡检完成后以弹窗即时输出路线上所经过的设备的巡检结果（包括且不限于监控信息，告警信息），巡检的结果保存记录。</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SiteWeb6-3D</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短信报警</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1.4G全网通短信报警模块、支持移动、联通、电信手机卡，支持串口及USB接口；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2.配置手机卡≥2张，确保一张出现问题时，不影响报警。质保期内产生资费由投标方负责。</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CH-M3G7M7</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电话报警</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电话拨号报警模块嵌入式软件、电话拨号盒、可以通过用户电话线进行报警、出现异常情况拨打电话告警，人员数量不限。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配置手机卡≥2张，确保一张出现问题时，不影响报警。质保期内产生资费由投标方负责。</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SiteWeb6-电话语音通知</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WEB浏览</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远端浏览软件客户端、查看机房环境的运行情况</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SiteWeb6</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报表管理</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报表导出管理、报警信息、报警处理记录通过报表形式进行导出、便于分析管理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SiteWeb6-报表管理</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PUE值</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在软件中计算出能耗PUE值，以柱状、饼状图展示，便于管理人员对机房内的能效用电情况实时掌握，为后期的扩容发展提供数据支撑</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SiteWeb6-能耗管理</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声光报警</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当机房内出现异常情况时通过声光报警器进行声光闪光报警</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5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维谛技术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声光报警器</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0"/>
                <w:szCs w:val="20"/>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3</w:t>
            </w:r>
          </w:p>
        </w:tc>
        <w:tc>
          <w:tcPr>
            <w:tcW w:w="133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3105150</wp:posOffset>
                  </wp:positionH>
                  <wp:positionV relativeFrom="paragraph">
                    <wp:posOffset>-57150</wp:posOffset>
                  </wp:positionV>
                  <wp:extent cx="152400" cy="161925"/>
                  <wp:effectExtent l="0" t="0" r="0" b="0"/>
                  <wp:wrapNone/>
                  <wp:docPr id="17" name="Text_Box_10_SpCnt_3"/>
                  <wp:cNvGraphicFramePr/>
                  <a:graphic xmlns:a="http://schemas.openxmlformats.org/drawingml/2006/main">
                    <a:graphicData uri="http://schemas.openxmlformats.org/drawingml/2006/picture">
                      <pic:pic xmlns:pic="http://schemas.openxmlformats.org/drawingml/2006/picture">
                        <pic:nvPicPr>
                          <pic:cNvPr id="17" name="Text_Box_10_SpCnt_3"/>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3" name="Text_Box_5"/>
                  <wp:cNvGraphicFramePr/>
                  <a:graphic xmlns:a="http://schemas.openxmlformats.org/drawingml/2006/main">
                    <a:graphicData uri="http://schemas.openxmlformats.org/drawingml/2006/picture">
                      <pic:pic xmlns:pic="http://schemas.openxmlformats.org/drawingml/2006/picture">
                        <pic:nvPicPr>
                          <pic:cNvPr id="23" name="Text_Box_5"/>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4" name="Text_Box_9"/>
                  <wp:cNvGraphicFramePr/>
                  <a:graphic xmlns:a="http://schemas.openxmlformats.org/drawingml/2006/main">
                    <a:graphicData uri="http://schemas.openxmlformats.org/drawingml/2006/picture">
                      <pic:pic xmlns:pic="http://schemas.openxmlformats.org/drawingml/2006/picture">
                        <pic:nvPicPr>
                          <pic:cNvPr id="4" name="Text_Box_9"/>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3" name="Text_Box_5_SpCnt_1"/>
                  <wp:cNvGraphicFramePr/>
                  <a:graphic xmlns:a="http://schemas.openxmlformats.org/drawingml/2006/main">
                    <a:graphicData uri="http://schemas.openxmlformats.org/drawingml/2006/picture">
                      <pic:pic xmlns:pic="http://schemas.openxmlformats.org/drawingml/2006/picture">
                        <pic:nvPicPr>
                          <pic:cNvPr id="3" name="Text_Box_5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 name="Text_Box_9_SpCnt_1"/>
                  <wp:cNvGraphicFramePr/>
                  <a:graphic xmlns:a="http://schemas.openxmlformats.org/drawingml/2006/main">
                    <a:graphicData uri="http://schemas.openxmlformats.org/drawingml/2006/picture">
                      <pic:pic xmlns:pic="http://schemas.openxmlformats.org/drawingml/2006/picture">
                        <pic:nvPicPr>
                          <pic:cNvPr id="1" name="Text_Box_9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 name="Text_Box_12"/>
                  <wp:cNvGraphicFramePr/>
                  <a:graphic xmlns:a="http://schemas.openxmlformats.org/drawingml/2006/main">
                    <a:graphicData uri="http://schemas.openxmlformats.org/drawingml/2006/picture">
                      <pic:pic xmlns:pic="http://schemas.openxmlformats.org/drawingml/2006/picture">
                        <pic:nvPicPr>
                          <pic:cNvPr id="2" name="Text_Box_1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2" name="Text_Box_10"/>
                  <wp:cNvGraphicFramePr/>
                  <a:graphic xmlns:a="http://schemas.openxmlformats.org/drawingml/2006/main">
                    <a:graphicData uri="http://schemas.openxmlformats.org/drawingml/2006/picture">
                      <pic:pic xmlns:pic="http://schemas.openxmlformats.org/drawingml/2006/picture">
                        <pic:nvPicPr>
                          <pic:cNvPr id="22" name="Text_Box_10"/>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6" name="Text_Box_9_SpCnt_2"/>
                  <wp:cNvGraphicFramePr/>
                  <a:graphic xmlns:a="http://schemas.openxmlformats.org/drawingml/2006/main">
                    <a:graphicData uri="http://schemas.openxmlformats.org/drawingml/2006/picture">
                      <pic:pic xmlns:pic="http://schemas.openxmlformats.org/drawingml/2006/picture">
                        <pic:nvPicPr>
                          <pic:cNvPr id="16" name="Text_Box_9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7" name="Text_Box_7"/>
                  <wp:cNvGraphicFramePr/>
                  <a:graphic xmlns:a="http://schemas.openxmlformats.org/drawingml/2006/main">
                    <a:graphicData uri="http://schemas.openxmlformats.org/drawingml/2006/picture">
                      <pic:pic xmlns:pic="http://schemas.openxmlformats.org/drawingml/2006/picture">
                        <pic:nvPicPr>
                          <pic:cNvPr id="7" name="Text_Box_7"/>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0" name="Text_Box_5_SpCnt_2"/>
                  <wp:cNvGraphicFramePr/>
                  <a:graphic xmlns:a="http://schemas.openxmlformats.org/drawingml/2006/main">
                    <a:graphicData uri="http://schemas.openxmlformats.org/drawingml/2006/picture">
                      <pic:pic xmlns:pic="http://schemas.openxmlformats.org/drawingml/2006/picture">
                        <pic:nvPicPr>
                          <pic:cNvPr id="10" name="Text_Box_5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3" name="Text_Box_14"/>
                  <wp:cNvGraphicFramePr/>
                  <a:graphic xmlns:a="http://schemas.openxmlformats.org/drawingml/2006/main">
                    <a:graphicData uri="http://schemas.openxmlformats.org/drawingml/2006/picture">
                      <pic:pic xmlns:pic="http://schemas.openxmlformats.org/drawingml/2006/picture">
                        <pic:nvPicPr>
                          <pic:cNvPr id="13" name="Text_Box_14"/>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8" name="Text_Box_12_SpCnt_1"/>
                  <wp:cNvGraphicFramePr/>
                  <a:graphic xmlns:a="http://schemas.openxmlformats.org/drawingml/2006/main">
                    <a:graphicData uri="http://schemas.openxmlformats.org/drawingml/2006/picture">
                      <pic:pic xmlns:pic="http://schemas.openxmlformats.org/drawingml/2006/picture">
                        <pic:nvPicPr>
                          <pic:cNvPr id="8" name="Text_Box_12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8" name="Text_Box_7_SpCnt_1"/>
                  <wp:cNvGraphicFramePr/>
                  <a:graphic xmlns:a="http://schemas.openxmlformats.org/drawingml/2006/main">
                    <a:graphicData uri="http://schemas.openxmlformats.org/drawingml/2006/picture">
                      <pic:pic xmlns:pic="http://schemas.openxmlformats.org/drawingml/2006/picture">
                        <pic:nvPicPr>
                          <pic:cNvPr id="18" name="Text_Box_7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1" name="Text_Box_10_SpCnt_1"/>
                  <wp:cNvGraphicFramePr/>
                  <a:graphic xmlns:a="http://schemas.openxmlformats.org/drawingml/2006/main">
                    <a:graphicData uri="http://schemas.openxmlformats.org/drawingml/2006/picture">
                      <pic:pic xmlns:pic="http://schemas.openxmlformats.org/drawingml/2006/picture">
                        <pic:nvPicPr>
                          <pic:cNvPr id="11" name="Text_Box_10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9" name="Text_Box_5_SpCnt_3"/>
                  <wp:cNvGraphicFramePr/>
                  <a:graphic xmlns:a="http://schemas.openxmlformats.org/drawingml/2006/main">
                    <a:graphicData uri="http://schemas.openxmlformats.org/drawingml/2006/picture">
                      <pic:pic xmlns:pic="http://schemas.openxmlformats.org/drawingml/2006/picture">
                        <pic:nvPicPr>
                          <pic:cNvPr id="19" name="Text_Box_5_SpCnt_3"/>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9" name="Text_Box_14_SpCnt_1"/>
                  <wp:cNvGraphicFramePr/>
                  <a:graphic xmlns:a="http://schemas.openxmlformats.org/drawingml/2006/main">
                    <a:graphicData uri="http://schemas.openxmlformats.org/drawingml/2006/picture">
                      <pic:pic xmlns:pic="http://schemas.openxmlformats.org/drawingml/2006/picture">
                        <pic:nvPicPr>
                          <pic:cNvPr id="9" name="Text_Box_14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0" name="Text_Box_12_SpCnt_2"/>
                  <wp:cNvGraphicFramePr/>
                  <a:graphic xmlns:a="http://schemas.openxmlformats.org/drawingml/2006/main">
                    <a:graphicData uri="http://schemas.openxmlformats.org/drawingml/2006/picture">
                      <pic:pic xmlns:pic="http://schemas.openxmlformats.org/drawingml/2006/picture">
                        <pic:nvPicPr>
                          <pic:cNvPr id="20" name="Text_Box_12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4" name="Text_Box_10_SpCnt_2"/>
                  <wp:cNvGraphicFramePr/>
                  <a:graphic xmlns:a="http://schemas.openxmlformats.org/drawingml/2006/main">
                    <a:graphicData uri="http://schemas.openxmlformats.org/drawingml/2006/picture">
                      <pic:pic xmlns:pic="http://schemas.openxmlformats.org/drawingml/2006/picture">
                        <pic:nvPicPr>
                          <pic:cNvPr id="14" name="Text_Box_10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2" name="Text_Box_9_SpCnt_3"/>
                  <wp:cNvGraphicFramePr/>
                  <a:graphic xmlns:a="http://schemas.openxmlformats.org/drawingml/2006/main">
                    <a:graphicData uri="http://schemas.openxmlformats.org/drawingml/2006/picture">
                      <pic:pic xmlns:pic="http://schemas.openxmlformats.org/drawingml/2006/picture">
                        <pic:nvPicPr>
                          <pic:cNvPr id="12" name="Text_Box_9_SpCnt_3"/>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6" name="Text_Box_14_SpCnt_2"/>
                  <wp:cNvGraphicFramePr/>
                  <a:graphic xmlns:a="http://schemas.openxmlformats.org/drawingml/2006/main">
                    <a:graphicData uri="http://schemas.openxmlformats.org/drawingml/2006/picture">
                      <pic:pic xmlns:pic="http://schemas.openxmlformats.org/drawingml/2006/picture">
                        <pic:nvPicPr>
                          <pic:cNvPr id="6" name="Text_Box_14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5" name="Text_Box_7_SpCnt_2"/>
                  <wp:cNvGraphicFramePr/>
                  <a:graphic xmlns:a="http://schemas.openxmlformats.org/drawingml/2006/main">
                    <a:graphicData uri="http://schemas.openxmlformats.org/drawingml/2006/picture">
                      <pic:pic xmlns:pic="http://schemas.openxmlformats.org/drawingml/2006/picture">
                        <pic:nvPicPr>
                          <pic:cNvPr id="15" name="Text_Box_7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5" name="Text_Box_12_SpCnt_3"/>
                  <wp:cNvGraphicFramePr/>
                  <a:graphic xmlns:a="http://schemas.openxmlformats.org/drawingml/2006/main">
                    <a:graphicData uri="http://schemas.openxmlformats.org/drawingml/2006/picture">
                      <pic:pic xmlns:pic="http://schemas.openxmlformats.org/drawingml/2006/picture">
                        <pic:nvPicPr>
                          <pic:cNvPr id="5" name="Text_Box_12_SpCnt_3"/>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1" name="Text_Box_7_SpCnt_3"/>
                  <wp:cNvGraphicFramePr/>
                  <a:graphic xmlns:a="http://schemas.openxmlformats.org/drawingml/2006/main">
                    <a:graphicData uri="http://schemas.openxmlformats.org/drawingml/2006/picture">
                      <pic:pic xmlns:pic="http://schemas.openxmlformats.org/drawingml/2006/picture">
                        <pic:nvPicPr>
                          <pic:cNvPr id="21" name="Text_Box_7_SpCnt_3"/>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 xml:space="preserve">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trPr>
        <w:tc>
          <w:tcPr>
            <w:tcW w:w="139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w:t>
            </w:r>
            <w:r>
              <w:rPr>
                <w:rFonts w:hint="eastAsia" w:ascii="宋体" w:hAnsi="宋体" w:cs="宋体"/>
                <w:i w:val="0"/>
                <w:iCs w:val="0"/>
                <w:color w:val="FF0000"/>
                <w:kern w:val="0"/>
                <w:sz w:val="24"/>
                <w:szCs w:val="24"/>
                <w:u w:val="none"/>
                <w:lang w:val="en-US" w:eastAsia="zh-CN" w:bidi="ar"/>
              </w:rPr>
              <w:t>安装调试</w:t>
            </w:r>
            <w:r>
              <w:rPr>
                <w:rFonts w:hint="eastAsia" w:ascii="宋体" w:hAnsi="宋体" w:eastAsia="宋体" w:cs="宋体"/>
                <w:i w:val="0"/>
                <w:iCs w:val="0"/>
                <w:color w:val="FF0000"/>
                <w:kern w:val="0"/>
                <w:sz w:val="24"/>
                <w:szCs w:val="24"/>
                <w:u w:val="none"/>
                <w:lang w:val="en-US" w:eastAsia="zh-CN" w:bidi="ar"/>
              </w:rPr>
              <w:t>以及卸货相关服务费用。</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0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c>
          <w:tcPr>
            <w:tcW w:w="24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2" w:hRule="atLeast"/>
        </w:trPr>
        <w:tc>
          <w:tcPr>
            <w:tcW w:w="20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项目整体验收合格之日起 84 个月</w:t>
            </w:r>
          </w:p>
        </w:tc>
        <w:tc>
          <w:tcPr>
            <w:tcW w:w="24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税点</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0" w:hRule="atLeast"/>
        </w:trPr>
        <w:tc>
          <w:tcPr>
            <w:tcW w:w="20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270</w:t>
            </w:r>
            <w:r>
              <w:rPr>
                <w:rFonts w:hint="eastAsia" w:ascii="宋体" w:hAnsi="宋体" w:eastAsia="宋体" w:cs="宋体"/>
                <w:i w:val="0"/>
                <w:iCs w:val="0"/>
                <w:color w:val="FF0000"/>
                <w:kern w:val="0"/>
                <w:sz w:val="24"/>
                <w:szCs w:val="24"/>
                <w:u w:val="none"/>
                <w:lang w:val="en-US" w:eastAsia="zh-CN" w:bidi="ar"/>
              </w:rPr>
              <w:t>天</w:t>
            </w:r>
          </w:p>
        </w:tc>
        <w:tc>
          <w:tcPr>
            <w:tcW w:w="24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合同签订后，支付合同总价的45%，试运行3个月后，通过验收，付至审定价的 97%，运维期满付清余款。</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8998" w:type="dxa"/>
            <w:gridSpan w:val="9"/>
            <w:noWrap w:val="0"/>
            <w:vAlign w:val="center"/>
          </w:tcPr>
          <w:p>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1、付款条件:合同签订后个7日内支付30%预付款，货到验收合格后3个月内付清其余的货款。注</w:t>
      </w:r>
      <w:r>
        <w:rPr>
          <w:rFonts w:hint="eastAsia" w:ascii="仿宋" w:hAnsi="仿宋" w:eastAsia="仿宋" w:cs="仿宋"/>
          <w:color w:val="auto"/>
          <w:sz w:val="24"/>
          <w:szCs w:val="24"/>
          <w:lang w:val="en-US" w:eastAsia="zh-CN"/>
        </w:rPr>
        <w:t>：付款时供应商须提供正规发票（因发票问题而导致无法正常付款的，责任由供应商自己承担）。</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pPr>
        <w:ind w:left="0" w:leftChars="0" w:firstLine="0" w:firstLineChars="0"/>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2BD280C"/>
    <w:rsid w:val="02BD7BE0"/>
    <w:rsid w:val="03626CD0"/>
    <w:rsid w:val="03BB36BB"/>
    <w:rsid w:val="058E7D29"/>
    <w:rsid w:val="06E65ABA"/>
    <w:rsid w:val="07CC21FA"/>
    <w:rsid w:val="082F30B8"/>
    <w:rsid w:val="0886108C"/>
    <w:rsid w:val="09FE7C7D"/>
    <w:rsid w:val="0BC2638F"/>
    <w:rsid w:val="0BDC6B78"/>
    <w:rsid w:val="0C882A07"/>
    <w:rsid w:val="0CD142BE"/>
    <w:rsid w:val="0D681C76"/>
    <w:rsid w:val="0D78696A"/>
    <w:rsid w:val="0DBF30C4"/>
    <w:rsid w:val="0DD96789"/>
    <w:rsid w:val="100159F1"/>
    <w:rsid w:val="10275305"/>
    <w:rsid w:val="10941E2C"/>
    <w:rsid w:val="133B07D3"/>
    <w:rsid w:val="138B678C"/>
    <w:rsid w:val="13A43BC7"/>
    <w:rsid w:val="144B0B25"/>
    <w:rsid w:val="14F94AB5"/>
    <w:rsid w:val="157C124F"/>
    <w:rsid w:val="15B405D8"/>
    <w:rsid w:val="173B2189"/>
    <w:rsid w:val="17CE6EF3"/>
    <w:rsid w:val="1870435E"/>
    <w:rsid w:val="18B65219"/>
    <w:rsid w:val="193251CA"/>
    <w:rsid w:val="1959078F"/>
    <w:rsid w:val="1A48720E"/>
    <w:rsid w:val="1B17580D"/>
    <w:rsid w:val="1B811C42"/>
    <w:rsid w:val="1C1414B5"/>
    <w:rsid w:val="1C44694B"/>
    <w:rsid w:val="1CB642A6"/>
    <w:rsid w:val="1CBE542C"/>
    <w:rsid w:val="1E434544"/>
    <w:rsid w:val="1F444EB4"/>
    <w:rsid w:val="1F741D8C"/>
    <w:rsid w:val="1FC0011B"/>
    <w:rsid w:val="1FF000D2"/>
    <w:rsid w:val="1FF040AD"/>
    <w:rsid w:val="200C3464"/>
    <w:rsid w:val="23B60935"/>
    <w:rsid w:val="245503E6"/>
    <w:rsid w:val="24BF2D95"/>
    <w:rsid w:val="25BA7F75"/>
    <w:rsid w:val="25DE44B5"/>
    <w:rsid w:val="264801BD"/>
    <w:rsid w:val="267537D8"/>
    <w:rsid w:val="26A67AF4"/>
    <w:rsid w:val="27933CD9"/>
    <w:rsid w:val="292E08DE"/>
    <w:rsid w:val="29E622D3"/>
    <w:rsid w:val="2A225DF1"/>
    <w:rsid w:val="2B6A410E"/>
    <w:rsid w:val="2B9E5DD1"/>
    <w:rsid w:val="2C761843"/>
    <w:rsid w:val="2D4E2C33"/>
    <w:rsid w:val="2DC647A7"/>
    <w:rsid w:val="2E1B2848"/>
    <w:rsid w:val="2E342253"/>
    <w:rsid w:val="2FA05CF7"/>
    <w:rsid w:val="300D6BCC"/>
    <w:rsid w:val="31140310"/>
    <w:rsid w:val="318F1FBE"/>
    <w:rsid w:val="339B7C29"/>
    <w:rsid w:val="345319C9"/>
    <w:rsid w:val="37A7439E"/>
    <w:rsid w:val="37CA2BC5"/>
    <w:rsid w:val="38544E55"/>
    <w:rsid w:val="39963E4D"/>
    <w:rsid w:val="3B0F7CBC"/>
    <w:rsid w:val="3B275F4B"/>
    <w:rsid w:val="3E015FF2"/>
    <w:rsid w:val="3E5157CB"/>
    <w:rsid w:val="40130CAF"/>
    <w:rsid w:val="420E65EA"/>
    <w:rsid w:val="42BF1B92"/>
    <w:rsid w:val="435E2995"/>
    <w:rsid w:val="43966372"/>
    <w:rsid w:val="44EF43A5"/>
    <w:rsid w:val="46AE2EAA"/>
    <w:rsid w:val="48832749"/>
    <w:rsid w:val="493C6A78"/>
    <w:rsid w:val="49AB2DE5"/>
    <w:rsid w:val="4A0D21C2"/>
    <w:rsid w:val="4A0E06F8"/>
    <w:rsid w:val="4B1A7BD1"/>
    <w:rsid w:val="4BB038DA"/>
    <w:rsid w:val="4C73767A"/>
    <w:rsid w:val="4D030046"/>
    <w:rsid w:val="4E802F1D"/>
    <w:rsid w:val="4EF042FA"/>
    <w:rsid w:val="4FAF448B"/>
    <w:rsid w:val="50417986"/>
    <w:rsid w:val="50F73FA0"/>
    <w:rsid w:val="515E18DF"/>
    <w:rsid w:val="51765D9A"/>
    <w:rsid w:val="521C7398"/>
    <w:rsid w:val="52446C35"/>
    <w:rsid w:val="527E16D3"/>
    <w:rsid w:val="52C14E18"/>
    <w:rsid w:val="5316709E"/>
    <w:rsid w:val="56E07198"/>
    <w:rsid w:val="57221F02"/>
    <w:rsid w:val="57DB3B40"/>
    <w:rsid w:val="58733762"/>
    <w:rsid w:val="59D75C73"/>
    <w:rsid w:val="5BBF6D32"/>
    <w:rsid w:val="5C02364F"/>
    <w:rsid w:val="5C4A6C71"/>
    <w:rsid w:val="5CA61E20"/>
    <w:rsid w:val="5D9E05A7"/>
    <w:rsid w:val="5DF96E76"/>
    <w:rsid w:val="5E0F059C"/>
    <w:rsid w:val="5EB9237C"/>
    <w:rsid w:val="5F0458F0"/>
    <w:rsid w:val="5FE226DD"/>
    <w:rsid w:val="60C33852"/>
    <w:rsid w:val="61547E11"/>
    <w:rsid w:val="61852A60"/>
    <w:rsid w:val="62567581"/>
    <w:rsid w:val="64467711"/>
    <w:rsid w:val="64E752C4"/>
    <w:rsid w:val="657C7076"/>
    <w:rsid w:val="65F729C7"/>
    <w:rsid w:val="66934D57"/>
    <w:rsid w:val="66A27154"/>
    <w:rsid w:val="677551D7"/>
    <w:rsid w:val="69FD1FFD"/>
    <w:rsid w:val="6A2B5BCA"/>
    <w:rsid w:val="6AA75C6E"/>
    <w:rsid w:val="6BB31049"/>
    <w:rsid w:val="6BF15785"/>
    <w:rsid w:val="6CF430F2"/>
    <w:rsid w:val="6D3C0639"/>
    <w:rsid w:val="6DB96BEC"/>
    <w:rsid w:val="6F321DFD"/>
    <w:rsid w:val="6F575DD1"/>
    <w:rsid w:val="70155795"/>
    <w:rsid w:val="702E6762"/>
    <w:rsid w:val="70314EAA"/>
    <w:rsid w:val="706B3AE0"/>
    <w:rsid w:val="71270FB3"/>
    <w:rsid w:val="71E07B02"/>
    <w:rsid w:val="72C34258"/>
    <w:rsid w:val="73CE218C"/>
    <w:rsid w:val="79DA1D09"/>
    <w:rsid w:val="7A182199"/>
    <w:rsid w:val="7AE1770B"/>
    <w:rsid w:val="7B6A429E"/>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41"/>
    <w:basedOn w:val="2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816</Words>
  <Characters>827</Characters>
  <Lines>0</Lines>
  <Paragraphs>0</Paragraphs>
  <TotalTime>0</TotalTime>
  <ScaleCrop>false</ScaleCrop>
  <LinksUpToDate>false</LinksUpToDate>
  <CharactersWithSpaces>1183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2025-03-31T07:56:17Z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998E303BB1E04EA4A7471D8F7AEFC918_13</vt:lpwstr>
  </property>
  <property fmtid="{D5CDD505-2E9C-101B-9397-08002B2CF9AE}" pid="4" name="KSOTemplateDocerSaveRecord">
    <vt:lpwstr>eyJoZGlkIjoiMTdmMDNkNWQ0ZWMxNjY0YzI3ODdkN2UzOWY5OGRlNzEifQ==</vt:lpwstr>
  </property>
</Properties>
</file>