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滚动屏及相关设备询价文件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191E3741">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4C8DC2E3">
      <w:pPr>
        <w:pStyle w:val="15"/>
        <w:rPr>
          <w:rFonts w:hint="eastAsia"/>
        </w:rPr>
        <w:sectPr>
          <w:pgSz w:w="11906" w:h="16838"/>
          <w:pgMar w:top="1440" w:right="1800" w:bottom="1440" w:left="1800" w:header="851" w:footer="992" w:gutter="0"/>
          <w:cols w:space="425" w:num="1"/>
          <w:docGrid w:type="lines" w:linePitch="312" w:charSpace="0"/>
        </w:sectPr>
      </w:pPr>
    </w:p>
    <w:p w14:paraId="18762703">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14:paraId="086AD963">
      <w:pPr>
        <w:rPr>
          <w:rFonts w:hint="default"/>
          <w:lang w:val="en-US" w:eastAsia="zh-CN"/>
        </w:rPr>
        <w:sectPr>
          <w:pgSz w:w="11906" w:h="16838"/>
          <w:pgMar w:top="1440" w:right="1800" w:bottom="1440" w:left="1800" w:header="851" w:footer="992" w:gutter="0"/>
          <w:cols w:space="425" w:num="1"/>
          <w:docGrid w:type="lines" w:linePitch="312" w:charSpace="0"/>
        </w:sectPr>
      </w:pPr>
    </w:p>
    <w:tbl>
      <w:tblPr>
        <w:tblStyle w:val="24"/>
        <w:tblW w:w="139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410"/>
        <w:gridCol w:w="3345"/>
        <w:gridCol w:w="1410"/>
        <w:gridCol w:w="1440"/>
        <w:gridCol w:w="1440"/>
        <w:gridCol w:w="1080"/>
        <w:gridCol w:w="1245"/>
        <w:gridCol w:w="1500"/>
      </w:tblGrid>
      <w:tr w14:paraId="7334E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3950" w:type="dxa"/>
            <w:gridSpan w:val="9"/>
            <w:tcBorders>
              <w:top w:val="nil"/>
              <w:left w:val="nil"/>
              <w:bottom w:val="nil"/>
              <w:right w:val="nil"/>
            </w:tcBorders>
            <w:shd w:val="clear" w:color="auto" w:fill="auto"/>
            <w:vAlign w:val="center"/>
          </w:tcPr>
          <w:p w14:paraId="28F794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107BE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EE9C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FC26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2ED81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50E415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062E0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63487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F4CD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DA9A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61A75C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FDBD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62261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2CD6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4E854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34633B9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45F24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6FFF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E35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7694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08B2BE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144C4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FB091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3FE5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6C7D2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54C148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5AD2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D45F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B4C1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3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3D07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技术参数</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2F47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C5FA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F82D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推荐品牌</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7D29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C321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cs="宋体"/>
                <w:i w:val="0"/>
                <w:iCs w:val="0"/>
                <w:color w:val="000000"/>
                <w:kern w:val="0"/>
                <w:sz w:val="24"/>
                <w:szCs w:val="24"/>
                <w:u w:val="none"/>
                <w:lang w:val="en-US" w:eastAsia="zh-CN" w:bidi="ar"/>
              </w:rPr>
              <w:t>所投品牌型号</w:t>
            </w:r>
            <w:bookmarkStart w:id="0" w:name="_GoBack"/>
            <w:bookmarkEnd w:id="0"/>
          </w:p>
        </w:tc>
      </w:tr>
      <w:tr w14:paraId="7C9A6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BB05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E74C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3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9ED3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0985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670D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1496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F70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D1BC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B453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04743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639A2D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C30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Style w:val="49"/>
                <w:lang w:val="en-US" w:eastAsia="zh-CN" w:bidi="ar"/>
              </w:rPr>
              <w:t>室内LED全彩屏(P4)</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830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★1.点间距：≤4.0mm，像素密度≥62500点/㎡；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2.模组采用前维护磁吸式结构,支持用户级模组前维护，可正面拆卸、安装灯板、接收卡、电源。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▲3.亮度（nit） ≥0-2000cd/m²，支持256级无灰度等级调节，可设置亮度定时调节，支持通过亮度传感器自动调节；亮度均匀性(校正后)≥99.3%；发光点中心距偏 ≤0.7%</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▲4.色温、色域：800K-30000K 连续可调。色域≥120%NTSC，YIQ 及覆盖率≥170% YUV，色温白平衡为8000K±5%；色度均匀性在±0.0005Cx，Cy 之内；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5.对比度：环境照度10±5%≥20000:1；可视角度：水平视角≥178°/垂直视角≥178°；</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6.表面处理可以支持面罩，斜条纹卡扣式处理，与摄像机角度配合做不反光处理，有效去除摩尔纹现象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7.刷新率：760Hz-7680Hz；换帧频率：20-240Hz帧频自适应调节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▲8.显示屏所使用的材料及元器件均符合《SJ/T11 363-2016电子信息产品中有毒有害物质的限定要求》符合环保要求的相关声明并通过BS8653有毒烟雾测试,毒性指数R值小0.5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▲9.使用寿命：≥200000h；像素点失控率≤1/2000000，无连续失控点；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10.支持模组件亮暗线修复功能，可从软、硬两方面彻底改善困扰小间距 LED 安装精度造成的亮、暗线问题；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▲11.低碳排放：LED显示屏每平方每小时的碳放量≤0.06千克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12.模块的壳体、面罩、PCB、防护胶的阻燃等级均达到UL94-V0级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13.支持任意非标准分辨率信号输入自适应，输出范围可进行缩放，实现最佳分辨率匹配，避免屏幕比例异常及黑边现象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14.电磁脉冲辐射满足复杂电磁环境下的防护要求，符合国家标准，电磁脉冲辐射后，闪屏或黑屏时间不超过1S，通过HEMP电磁脉冲辐射敏感度试验</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15.LED显示屏蓝光辐射能量符合A级，属于无害级别；（VICO指数）范围在0-1级，满足CSA035.2-2017标准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16.模组含智能存储电路，可以存储模组生产信息参数、运行参数等等，存储容量≥16kb；可对单点或整屏的亮度、色度进行校正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17.支持HDR高动态光照渲染技术；支持高动态范围图像技术显示,检测项目峰值亮度1000-1500，黑色亮度≤0.05cd/m²、EOTF曲线拟合度0.7-1.3、色域覆盖率≥95%（相对于DCI-P3色空间）、色域重合度≥93%，达到HDR3标准，符合CESI/TS 008-2019标准的HDR3.0认证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18.产品符合GB4943.1-2022音视频、信息技术和通信技术设备 第1部分：安全要求对设备进行电气间隙试验和跌落试验的要求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19、产品采用高端芯片，可智能调节正常工作与睡眠状态下的节能效果（动态节能，智能息屏），开启智能节电功能比没有开启节能50%以上</w:t>
            </w:r>
          </w:p>
          <w:p w14:paraId="53FD54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20、保证箱体拼接的平整度和密闭防尘性；支持箱体拼接自动对位设计；具有拼缝微调功能；箱体支持X/Y/Z六向调节，可实现屏幕上下左右拼缝及前后平整度任意调节</w:t>
            </w:r>
          </w:p>
          <w:p w14:paraId="2C43D3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21、屏幕表面光反射率，照度=10Lux/5600K条件下， 显示屏屏幕表面光反射率 （单位面积反射亮度）＜3.0cd/m²</w:t>
            </w:r>
          </w:p>
          <w:p w14:paraId="4A1C25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22、具备防蓝光护眼功能，蓝光辐射能量≤20%。蓝光辐射能量值对人眼视网膜无伤害，LED显示屏蓝光辐亮度≤0.5W.m-2.sr-1,符合肉眼观看标准。</w:t>
            </w:r>
          </w:p>
          <w:p w14:paraId="377FF9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23、▲支持PPA碗杯结构、点胶封装、出光方式为单面发光；显示面采用高强度化学防护材质，防碰撞、耐冲击、高耐磨、抗腐蚀、防划痕，可直接擦拭LED附着力≥100N；在灯珠四侧以水平 夹角 45°的方向施加推力 15N，灯珠未破碎或脱落。</w:t>
            </w:r>
          </w:p>
          <w:p w14:paraId="5186D0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24、显示屏所使用的材料及元器件均符合《SJ/T11363-2016电子信息产品中有毒有害物质的限定要求》符合环保要求的相关声明，根据《GB/T27050.1-2006合格评定供方的符合性声明第1部分：通用要求》 和《GB/T27050.2-2006合格评定供方的符合性声明第2部分：支持性文件》</w:t>
            </w:r>
          </w:p>
          <w:p w14:paraId="260269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25、支持鬼影消除、首行暗亮消除、低灰偏色补偿、低灰均匀性、低灰横条纹消除、慢速开启、十字架消除、去坏点、毛毛虫消除、余辉消除、亮度缓慢变亮功能</w:t>
            </w:r>
          </w:p>
          <w:p w14:paraId="75E769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26、▲为保证产品使用安全，静电电压衰减期（±1000-±100V）≤2S</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F39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D82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6.55 </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EC1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京东方，利亚德，洛普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201D9">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07DF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682AFCB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78B12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1DD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4C5F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接收卡</w:t>
            </w:r>
          </w:p>
        </w:tc>
        <w:tc>
          <w:tcPr>
            <w:tcW w:w="33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A19D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1、带载能力：512X384像素 ；采用HUB75E接口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2、支持 32组 RGB并行数据组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3、支持逐点亮色度校正，可以对每个灯点的亮度和色度进行校正，有效消除色差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4、快速亮暗线调节在调试软件上进行快速亮暗线调节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5、配合支持 3D 功能的独立主控，在软件或独立主控的操作面板上开启 3D 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6、★独立 Gamma 调节：RGB 独立 Gamma 调节技术增加调节维度，通过对“红 Gamma”、“绿 Gamma”、“蓝Gamma”分别进行调节，有效控制显示屏低灰不均匀、白平衡漂移等问题，使画面更加真实，提高色彩调节的灵活性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7、支持可以回读接收卡的固件程序并保存到本地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8、配置参数双备份：通过软件在接收卡上保存两份接收卡配置参数</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C04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00EF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16 </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8BF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京东方，利亚德，洛普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04F95">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34BE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6C81638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49C25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A41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708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w:t>
            </w:r>
          </w:p>
        </w:tc>
        <w:tc>
          <w:tcPr>
            <w:tcW w:w="33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FBA5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1、抗电强度 输入对输出，AC2000V/1min；输入对地，AC1500V/1min；输出对地，AC500V/1min</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2、输入电压范围 180VAC～264VAC</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FC42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C17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22 </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7EF5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京东方，利亚德，洛普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8F81B">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9AE3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4150B5E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7EC20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223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73E5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异步控制器</w:t>
            </w:r>
          </w:p>
        </w:tc>
        <w:tc>
          <w:tcPr>
            <w:tcW w:w="33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D87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4 核处理器，主频 1.2GHz ，支持 1080P 的视频硬解码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1GB 运行内存， 板载 32GB 内部存储空间，用户可用 28GB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3. 支持 65 万像素点带载能力，最宽 1920 像素，最高 1080 像素。 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4. 支持百兆有线网络，支持立体音频输出，支持 U 盘节目导入播放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 支持 4G 模块，可以通 过 4G 网络连接互联网。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 Android 操作系统软件  Android 终端应用软件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 PC 节目发布和显示屏控制、 局域网节目发布和显示屏控制、手机节目发布和显示屏控制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 集群远程节目发布和显示屏控制、集群远程监控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✭支持板载亮度传感器接口，支持自动和定时的智能亮度调节</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8D3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BE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EEE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配套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C6E30">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73B9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34D4CE3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7A70F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1FE3F91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3F2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辅材</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EF4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屏体内电源线与网线、光纤等，要求接入甲方指定的网络联网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90E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1B9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F05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F834">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81CF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4DE1462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9D2C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13E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170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控制电脑</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5AD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微星PRO H610M-S DDR4 (H+M.2)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12代 I5-12400F 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雅浚X400 4热管 炫彩风扇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金士顿16G 3200 PC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金士顿-500G（NV3 NV 4.0） 6000MB／s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影驰3050虎将V2 6G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航嘉机箱-赛亚人R1 侧透小机箱 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长城6000DS（额定500W）盒包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飞利浦27E1N5800E 27平面 4K IPS升旋</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E5B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2A3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7CE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7A3E5">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E554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314F19A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0572D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538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F03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屏体框架</w:t>
            </w:r>
          </w:p>
        </w:tc>
        <w:tc>
          <w:tcPr>
            <w:tcW w:w="33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5C76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根据现场情况及甲方需求定制</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CC1C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2CE9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10E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2BCD7">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BEBA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3B3E90D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CC68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342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152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不锈钢包边</w:t>
            </w:r>
          </w:p>
        </w:tc>
        <w:tc>
          <w:tcPr>
            <w:tcW w:w="33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208A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按甲方需求定制</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B81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0C39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84BC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ED810">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04B1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2CE504E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FAA5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006D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128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28562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9" name="Text_Box_5"/>
                  <wp:cNvGraphicFramePr/>
                  <a:graphic xmlns:a="http://schemas.openxmlformats.org/drawingml/2006/main">
                    <a:graphicData uri="http://schemas.openxmlformats.org/drawingml/2006/picture">
                      <pic:pic xmlns:pic="http://schemas.openxmlformats.org/drawingml/2006/picture">
                        <pic:nvPicPr>
                          <pic:cNvPr id="9" name="Text_Box_5"/>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1" name="Text_Box_9"/>
                  <wp:cNvGraphicFramePr/>
                  <a:graphic xmlns:a="http://schemas.openxmlformats.org/drawingml/2006/main">
                    <a:graphicData uri="http://schemas.openxmlformats.org/drawingml/2006/picture">
                      <pic:pic xmlns:pic="http://schemas.openxmlformats.org/drawingml/2006/picture">
                        <pic:nvPicPr>
                          <pic:cNvPr id="11" name="Text_Box_9"/>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2" name="Text_Box_5_SpCnt_1"/>
                  <wp:cNvGraphicFramePr/>
                  <a:graphic xmlns:a="http://schemas.openxmlformats.org/drawingml/2006/main">
                    <a:graphicData uri="http://schemas.openxmlformats.org/drawingml/2006/picture">
                      <pic:pic xmlns:pic="http://schemas.openxmlformats.org/drawingml/2006/picture">
                        <pic:nvPicPr>
                          <pic:cNvPr id="12" name="Text_Box_5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20" name="Text_Box_9_SpCnt_1"/>
                  <wp:cNvGraphicFramePr/>
                  <a:graphic xmlns:a="http://schemas.openxmlformats.org/drawingml/2006/main">
                    <a:graphicData uri="http://schemas.openxmlformats.org/drawingml/2006/picture">
                      <pic:pic xmlns:pic="http://schemas.openxmlformats.org/drawingml/2006/picture">
                        <pic:nvPicPr>
                          <pic:cNvPr id="20" name="Text_Box_9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4" name="Text_Box_12"/>
                  <wp:cNvGraphicFramePr/>
                  <a:graphic xmlns:a="http://schemas.openxmlformats.org/drawingml/2006/main">
                    <a:graphicData uri="http://schemas.openxmlformats.org/drawingml/2006/picture">
                      <pic:pic xmlns:pic="http://schemas.openxmlformats.org/drawingml/2006/picture">
                        <pic:nvPicPr>
                          <pic:cNvPr id="14" name="Text_Box_1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0" name="Text_Box_10"/>
                  <wp:cNvGraphicFramePr/>
                  <a:graphic xmlns:a="http://schemas.openxmlformats.org/drawingml/2006/main">
                    <a:graphicData uri="http://schemas.openxmlformats.org/drawingml/2006/picture">
                      <pic:pic xmlns:pic="http://schemas.openxmlformats.org/drawingml/2006/picture">
                        <pic:nvPicPr>
                          <pic:cNvPr id="10" name="Text_Box_10"/>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5" name="Text_Box_9_SpCnt_2"/>
                  <wp:cNvGraphicFramePr/>
                  <a:graphic xmlns:a="http://schemas.openxmlformats.org/drawingml/2006/main">
                    <a:graphicData uri="http://schemas.openxmlformats.org/drawingml/2006/picture">
                      <pic:pic xmlns:pic="http://schemas.openxmlformats.org/drawingml/2006/picture">
                        <pic:nvPicPr>
                          <pic:cNvPr id="15" name="Text_Box_9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23" name="Text_Box_7"/>
                  <wp:cNvGraphicFramePr/>
                  <a:graphic xmlns:a="http://schemas.openxmlformats.org/drawingml/2006/main">
                    <a:graphicData uri="http://schemas.openxmlformats.org/drawingml/2006/picture">
                      <pic:pic xmlns:pic="http://schemas.openxmlformats.org/drawingml/2006/picture">
                        <pic:nvPicPr>
                          <pic:cNvPr id="23" name="Text_Box_7"/>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21" name="Text_Box_5_SpCnt_2"/>
                  <wp:cNvGraphicFramePr/>
                  <a:graphic xmlns:a="http://schemas.openxmlformats.org/drawingml/2006/main">
                    <a:graphicData uri="http://schemas.openxmlformats.org/drawingml/2006/picture">
                      <pic:pic xmlns:pic="http://schemas.openxmlformats.org/drawingml/2006/picture">
                        <pic:nvPicPr>
                          <pic:cNvPr id="21" name="Text_Box_5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7" name="Text_Box_14"/>
                  <wp:cNvGraphicFramePr/>
                  <a:graphic xmlns:a="http://schemas.openxmlformats.org/drawingml/2006/main">
                    <a:graphicData uri="http://schemas.openxmlformats.org/drawingml/2006/picture">
                      <pic:pic xmlns:pic="http://schemas.openxmlformats.org/drawingml/2006/picture">
                        <pic:nvPicPr>
                          <pic:cNvPr id="7" name="Text_Box_14"/>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22" name="Text_Box_12_SpCnt_1"/>
                  <wp:cNvGraphicFramePr/>
                  <a:graphic xmlns:a="http://schemas.openxmlformats.org/drawingml/2006/main">
                    <a:graphicData uri="http://schemas.openxmlformats.org/drawingml/2006/picture">
                      <pic:pic xmlns:pic="http://schemas.openxmlformats.org/drawingml/2006/picture">
                        <pic:nvPicPr>
                          <pic:cNvPr id="22" name="Text_Box_12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2" name="Text_Box_7_SpCnt_1"/>
                  <wp:cNvGraphicFramePr/>
                  <a:graphic xmlns:a="http://schemas.openxmlformats.org/drawingml/2006/main">
                    <a:graphicData uri="http://schemas.openxmlformats.org/drawingml/2006/picture">
                      <pic:pic xmlns:pic="http://schemas.openxmlformats.org/drawingml/2006/picture">
                        <pic:nvPicPr>
                          <pic:cNvPr id="2" name="Text_Box_7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3" name="Text_Box_10_SpCnt_1"/>
                  <wp:cNvGraphicFramePr/>
                  <a:graphic xmlns:a="http://schemas.openxmlformats.org/drawingml/2006/main">
                    <a:graphicData uri="http://schemas.openxmlformats.org/drawingml/2006/picture">
                      <pic:pic xmlns:pic="http://schemas.openxmlformats.org/drawingml/2006/picture">
                        <pic:nvPicPr>
                          <pic:cNvPr id="13" name="Text_Box_10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4" name="Text_Box_5_SpCnt_3"/>
                  <wp:cNvGraphicFramePr/>
                  <a:graphic xmlns:a="http://schemas.openxmlformats.org/drawingml/2006/main">
                    <a:graphicData uri="http://schemas.openxmlformats.org/drawingml/2006/picture">
                      <pic:pic xmlns:pic="http://schemas.openxmlformats.org/drawingml/2006/picture">
                        <pic:nvPicPr>
                          <pic:cNvPr id="4" name="Text_Box_5_SpCnt_3"/>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6" name="Text_Box_14_SpCnt_1"/>
                  <wp:cNvGraphicFramePr/>
                  <a:graphic xmlns:a="http://schemas.openxmlformats.org/drawingml/2006/main">
                    <a:graphicData uri="http://schemas.openxmlformats.org/drawingml/2006/picture">
                      <pic:pic xmlns:pic="http://schemas.openxmlformats.org/drawingml/2006/picture">
                        <pic:nvPicPr>
                          <pic:cNvPr id="16" name="Text_Box_14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5" name="Text_Box_12_SpCnt_2"/>
                  <wp:cNvGraphicFramePr/>
                  <a:graphic xmlns:a="http://schemas.openxmlformats.org/drawingml/2006/main">
                    <a:graphicData uri="http://schemas.openxmlformats.org/drawingml/2006/picture">
                      <pic:pic xmlns:pic="http://schemas.openxmlformats.org/drawingml/2006/picture">
                        <pic:nvPicPr>
                          <pic:cNvPr id="5" name="Text_Box_12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7" name="Text_Box_10_SpCnt_2"/>
                  <wp:cNvGraphicFramePr/>
                  <a:graphic xmlns:a="http://schemas.openxmlformats.org/drawingml/2006/main">
                    <a:graphicData uri="http://schemas.openxmlformats.org/drawingml/2006/picture">
                      <pic:pic xmlns:pic="http://schemas.openxmlformats.org/drawingml/2006/picture">
                        <pic:nvPicPr>
                          <pic:cNvPr id="17" name="Text_Box_10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8" name="Text_Box_9_SpCnt_3"/>
                  <wp:cNvGraphicFramePr/>
                  <a:graphic xmlns:a="http://schemas.openxmlformats.org/drawingml/2006/main">
                    <a:graphicData uri="http://schemas.openxmlformats.org/drawingml/2006/picture">
                      <pic:pic xmlns:pic="http://schemas.openxmlformats.org/drawingml/2006/picture">
                        <pic:nvPicPr>
                          <pic:cNvPr id="18" name="Text_Box_9_SpCnt_3"/>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9" name="Text_Box_14_SpCnt_2"/>
                  <wp:cNvGraphicFramePr/>
                  <a:graphic xmlns:a="http://schemas.openxmlformats.org/drawingml/2006/main">
                    <a:graphicData uri="http://schemas.openxmlformats.org/drawingml/2006/picture">
                      <pic:pic xmlns:pic="http://schemas.openxmlformats.org/drawingml/2006/picture">
                        <pic:nvPicPr>
                          <pic:cNvPr id="19" name="Text_Box_14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8" name="Text_Box_7_SpCnt_2"/>
                  <wp:cNvGraphicFramePr/>
                  <a:graphic xmlns:a="http://schemas.openxmlformats.org/drawingml/2006/main">
                    <a:graphicData uri="http://schemas.openxmlformats.org/drawingml/2006/picture">
                      <pic:pic xmlns:pic="http://schemas.openxmlformats.org/drawingml/2006/picture">
                        <pic:nvPicPr>
                          <pic:cNvPr id="8" name="Text_Box_7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1" name="Text_Box_12_SpCnt_3"/>
                  <wp:cNvGraphicFramePr/>
                  <a:graphic xmlns:a="http://schemas.openxmlformats.org/drawingml/2006/main">
                    <a:graphicData uri="http://schemas.openxmlformats.org/drawingml/2006/picture">
                      <pic:pic xmlns:pic="http://schemas.openxmlformats.org/drawingml/2006/picture">
                        <pic:nvPicPr>
                          <pic:cNvPr id="1" name="Text_Box_12_SpCnt_3"/>
                          <pic:cNvPicPr/>
                        </pic:nvPicPr>
                        <pic:blipFill>
                          <a:blip r:embed="rId9"/>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3" name="Text_Box_7_SpCnt_3"/>
                  <wp:cNvGraphicFramePr/>
                  <a:graphic xmlns:a="http://schemas.openxmlformats.org/drawingml/2006/main">
                    <a:graphicData uri="http://schemas.openxmlformats.org/drawingml/2006/picture">
                      <pic:pic xmlns:pic="http://schemas.openxmlformats.org/drawingml/2006/picture">
                        <pic:nvPicPr>
                          <pic:cNvPr id="3" name="Text_Box_7_SpCnt_3"/>
                          <pic:cNvPicPr/>
                        </pic:nvPicPr>
                        <pic:blipFill>
                          <a:blip r:embed="rId10"/>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4829175</wp:posOffset>
                  </wp:positionH>
                  <wp:positionV relativeFrom="paragraph">
                    <wp:posOffset>0</wp:posOffset>
                  </wp:positionV>
                  <wp:extent cx="152400" cy="161925"/>
                  <wp:effectExtent l="0" t="0" r="0" b="0"/>
                  <wp:wrapNone/>
                  <wp:docPr id="6" name="Text_Box_10_SpCnt_3"/>
                  <wp:cNvGraphicFramePr/>
                  <a:graphic xmlns:a="http://schemas.openxmlformats.org/drawingml/2006/main">
                    <a:graphicData uri="http://schemas.openxmlformats.org/drawingml/2006/picture">
                      <pic:pic xmlns:pic="http://schemas.openxmlformats.org/drawingml/2006/picture">
                        <pic:nvPicPr>
                          <pic:cNvPr id="6" name="Text_Box_10_SpCnt_3"/>
                          <pic:cNvPicPr/>
                        </pic:nvPicPr>
                        <pic:blipFill>
                          <a:blip r:embed="rId11"/>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lang w:val="en-US" w:eastAsia="zh-CN" w:bidi="ar"/>
              </w:rPr>
              <w:t>合计：</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元</w:t>
            </w:r>
          </w:p>
        </w:tc>
      </w:tr>
      <w:tr w14:paraId="726A4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39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23A0DB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注：以上报价含可抵扣的增值税专用发票、运费、以及卸货相关服务费用。</w:t>
            </w:r>
          </w:p>
        </w:tc>
      </w:tr>
      <w:tr w14:paraId="31511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D1C9E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614E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01035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52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18938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r>
      <w:tr w14:paraId="0463E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EC43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B4A1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2年</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A078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52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9BE44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r>
      <w:tr w14:paraId="0B389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292C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D93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7天</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6732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52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A1D9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合同签订后个7日内支付30%预付款，货到验收合格后3个月内付清其余的货款</w:t>
            </w:r>
          </w:p>
        </w:tc>
      </w:tr>
    </w:tbl>
    <w:p w14:paraId="632E0F79">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1、付款条件:合同签订后个7日内支付30%预付款，货到验收合格后3个月内付清其余的货款。注</w:t>
      </w:r>
      <w:r>
        <w:rPr>
          <w:rFonts w:hint="eastAsia" w:ascii="仿宋" w:hAnsi="仿宋" w:eastAsia="仿宋" w:cs="仿宋"/>
          <w:color w:val="auto"/>
          <w:sz w:val="24"/>
          <w:szCs w:val="24"/>
          <w:lang w:val="en-US" w:eastAsia="zh-CN"/>
        </w:rPr>
        <w:t>：付款时供应商须提供正规发票（因发票问题而导致无法正常付款的，责任由供应商自己承担）。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3626CD0"/>
    <w:rsid w:val="03BB36BB"/>
    <w:rsid w:val="04741F2A"/>
    <w:rsid w:val="058E7D29"/>
    <w:rsid w:val="06E65ABA"/>
    <w:rsid w:val="07CC21FA"/>
    <w:rsid w:val="082F30B8"/>
    <w:rsid w:val="0886108C"/>
    <w:rsid w:val="09FE7C7D"/>
    <w:rsid w:val="0BC2638F"/>
    <w:rsid w:val="0BDC6B78"/>
    <w:rsid w:val="0C882A07"/>
    <w:rsid w:val="0CD142BE"/>
    <w:rsid w:val="0D681C76"/>
    <w:rsid w:val="0D78696A"/>
    <w:rsid w:val="0DBF30C4"/>
    <w:rsid w:val="0DD96789"/>
    <w:rsid w:val="100159F1"/>
    <w:rsid w:val="10275305"/>
    <w:rsid w:val="10941E2C"/>
    <w:rsid w:val="133B07D3"/>
    <w:rsid w:val="138B678C"/>
    <w:rsid w:val="13A43BC7"/>
    <w:rsid w:val="144B0B25"/>
    <w:rsid w:val="14F94AB5"/>
    <w:rsid w:val="157C124F"/>
    <w:rsid w:val="15B405D8"/>
    <w:rsid w:val="173B2189"/>
    <w:rsid w:val="17CE6EF3"/>
    <w:rsid w:val="185D2018"/>
    <w:rsid w:val="1870435E"/>
    <w:rsid w:val="18B65219"/>
    <w:rsid w:val="193251CA"/>
    <w:rsid w:val="1959078F"/>
    <w:rsid w:val="1A48720E"/>
    <w:rsid w:val="1B811C42"/>
    <w:rsid w:val="1C1414B5"/>
    <w:rsid w:val="1C44694B"/>
    <w:rsid w:val="1CB642A6"/>
    <w:rsid w:val="1CBE542C"/>
    <w:rsid w:val="1E434544"/>
    <w:rsid w:val="1F444EB4"/>
    <w:rsid w:val="1F741D8C"/>
    <w:rsid w:val="1FC0011B"/>
    <w:rsid w:val="1FF000D2"/>
    <w:rsid w:val="1FF040AD"/>
    <w:rsid w:val="200C3464"/>
    <w:rsid w:val="23B60935"/>
    <w:rsid w:val="245503E6"/>
    <w:rsid w:val="24BF2D95"/>
    <w:rsid w:val="259D1AFE"/>
    <w:rsid w:val="25BA7F75"/>
    <w:rsid w:val="25DE44B5"/>
    <w:rsid w:val="264801BD"/>
    <w:rsid w:val="267537D8"/>
    <w:rsid w:val="26A67AF4"/>
    <w:rsid w:val="27933CD9"/>
    <w:rsid w:val="292E08DE"/>
    <w:rsid w:val="29E622D3"/>
    <w:rsid w:val="2A225DF1"/>
    <w:rsid w:val="2B6A410E"/>
    <w:rsid w:val="2B9E5DD1"/>
    <w:rsid w:val="2C761843"/>
    <w:rsid w:val="2D4E2C33"/>
    <w:rsid w:val="2DC647A7"/>
    <w:rsid w:val="2E1B2848"/>
    <w:rsid w:val="2E342253"/>
    <w:rsid w:val="2FA05CF7"/>
    <w:rsid w:val="300D6BCC"/>
    <w:rsid w:val="31140310"/>
    <w:rsid w:val="318F1FBE"/>
    <w:rsid w:val="339B7C29"/>
    <w:rsid w:val="345319C9"/>
    <w:rsid w:val="37A7439E"/>
    <w:rsid w:val="37CA2BC5"/>
    <w:rsid w:val="38544E55"/>
    <w:rsid w:val="39963E4D"/>
    <w:rsid w:val="3B0F7CBC"/>
    <w:rsid w:val="3B275F4B"/>
    <w:rsid w:val="3E015FF2"/>
    <w:rsid w:val="3E5157CB"/>
    <w:rsid w:val="40130CAF"/>
    <w:rsid w:val="420E65EA"/>
    <w:rsid w:val="42BF1B92"/>
    <w:rsid w:val="435E2995"/>
    <w:rsid w:val="43966372"/>
    <w:rsid w:val="44EF43A5"/>
    <w:rsid w:val="46AE2EAA"/>
    <w:rsid w:val="47D32116"/>
    <w:rsid w:val="48832749"/>
    <w:rsid w:val="493C6A78"/>
    <w:rsid w:val="49AB2DE5"/>
    <w:rsid w:val="4A0D21C2"/>
    <w:rsid w:val="4A0E06F8"/>
    <w:rsid w:val="4B1A7BD1"/>
    <w:rsid w:val="4BB038DA"/>
    <w:rsid w:val="4C73767A"/>
    <w:rsid w:val="4D030046"/>
    <w:rsid w:val="4E802F1D"/>
    <w:rsid w:val="4EF042FA"/>
    <w:rsid w:val="4FAF448B"/>
    <w:rsid w:val="50417986"/>
    <w:rsid w:val="50F73FA0"/>
    <w:rsid w:val="515E18DF"/>
    <w:rsid w:val="51765D9A"/>
    <w:rsid w:val="521C7398"/>
    <w:rsid w:val="52446C35"/>
    <w:rsid w:val="527E16D3"/>
    <w:rsid w:val="52C14E18"/>
    <w:rsid w:val="5316709E"/>
    <w:rsid w:val="56E07198"/>
    <w:rsid w:val="57221F02"/>
    <w:rsid w:val="57DB3B40"/>
    <w:rsid w:val="58733762"/>
    <w:rsid w:val="59D75C73"/>
    <w:rsid w:val="5BBF6D32"/>
    <w:rsid w:val="5C02364F"/>
    <w:rsid w:val="5C4A6C71"/>
    <w:rsid w:val="5CA61E20"/>
    <w:rsid w:val="5D9E05A7"/>
    <w:rsid w:val="5DF96E76"/>
    <w:rsid w:val="5E0F059C"/>
    <w:rsid w:val="5EB9237C"/>
    <w:rsid w:val="5F0458F0"/>
    <w:rsid w:val="5FE226DD"/>
    <w:rsid w:val="60C33852"/>
    <w:rsid w:val="61547E11"/>
    <w:rsid w:val="61852A60"/>
    <w:rsid w:val="62567581"/>
    <w:rsid w:val="64467711"/>
    <w:rsid w:val="64E752C4"/>
    <w:rsid w:val="65F729C7"/>
    <w:rsid w:val="66934D57"/>
    <w:rsid w:val="66A27154"/>
    <w:rsid w:val="677551D7"/>
    <w:rsid w:val="698D373B"/>
    <w:rsid w:val="69FD1FFD"/>
    <w:rsid w:val="6A2B5BCA"/>
    <w:rsid w:val="6AA75C6E"/>
    <w:rsid w:val="6BB31049"/>
    <w:rsid w:val="6BF15785"/>
    <w:rsid w:val="6CF430F2"/>
    <w:rsid w:val="6D3C0639"/>
    <w:rsid w:val="6DB96BEC"/>
    <w:rsid w:val="6F321DFD"/>
    <w:rsid w:val="6F575DD1"/>
    <w:rsid w:val="70155795"/>
    <w:rsid w:val="702E6762"/>
    <w:rsid w:val="70314EAA"/>
    <w:rsid w:val="706B3AE0"/>
    <w:rsid w:val="71270FB3"/>
    <w:rsid w:val="71E07B02"/>
    <w:rsid w:val="72C34258"/>
    <w:rsid w:val="73CE218C"/>
    <w:rsid w:val="74AA472D"/>
    <w:rsid w:val="768165E1"/>
    <w:rsid w:val="79DA1D09"/>
    <w:rsid w:val="7A182199"/>
    <w:rsid w:val="7AE1770B"/>
    <w:rsid w:val="7D0F483D"/>
    <w:rsid w:val="7E004848"/>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 w:type="character" w:customStyle="1" w:styleId="49">
    <w:name w:val="font01"/>
    <w:basedOn w:val="2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820</Words>
  <Characters>831</Characters>
  <Lines>0</Lines>
  <Paragraphs>0</Paragraphs>
  <TotalTime>0</TotalTime>
  <ScaleCrop>false</ScaleCrop>
  <LinksUpToDate>false</LinksUpToDate>
  <CharactersWithSpaces>1187</CharactersWithSpaces>
  <Application>WPS Office_12.1.0.20754_F1E327BC-269C-435d-A152-05C5408002CA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cp:lastModifiedBy>
  <cp:lastPrinted>2023-11-07T01:59:00Z</cp:lastPrinted>
  <dcterms:modified xsi:type="dcterms:W3CDTF">2025-03-31T09:30:09Z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2052-12.1.0.20754</vt:lpwstr>
  </property>
  <property fmtid="{D5CDD505-2E9C-101B-9397-08002B2CF9AE}" pid="3" name="ICV">
    <vt:lpwstr>B6C47139C83C4A9084ED8FEBC4204E76_13</vt:lpwstr>
  </property>
  <property fmtid="{D5CDD505-2E9C-101B-9397-08002B2CF9AE}" pid="4" name="KSOTemplateDocerSaveRecord">
    <vt:lpwstr>eyJoZGlkIjoiMTdmMDNkNWQ0ZWMxNjY0YzI3ODdkN2UzOWY5OGRlNzEifQ==</vt:lpwstr>
  </property>
</Properties>
</file>