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bookmarkStart w:id="0" w:name="_GoBack"/>
      <w:r>
        <w:rPr>
          <w:rFonts w:hint="eastAsia" w:ascii="宋体" w:hAnsi="宋体" w:eastAsia="宋体" w:cs="宋体"/>
          <w:b/>
          <w:i w:val="0"/>
          <w:iCs w:val="0"/>
          <w:color w:val="000000"/>
          <w:kern w:val="0"/>
          <w:sz w:val="48"/>
          <w:szCs w:val="48"/>
          <w:u w:val="none"/>
          <w:lang w:val="en-US" w:eastAsia="zh-CN" w:bidi="ar"/>
        </w:rPr>
        <w:t>网络设备</w:t>
      </w:r>
      <w:bookmarkEnd w:id="0"/>
      <w:r>
        <w:rPr>
          <w:rFonts w:hint="eastAsia" w:ascii="宋体" w:hAnsi="宋体" w:eastAsia="宋体" w:cs="宋体"/>
          <w:b/>
          <w:i w:val="0"/>
          <w:iCs w:val="0"/>
          <w:color w:val="000000"/>
          <w:kern w:val="0"/>
          <w:sz w:val="48"/>
          <w:szCs w:val="48"/>
          <w:u w:val="none"/>
          <w:lang w:val="en-US" w:eastAsia="zh-CN" w:bidi="ar"/>
        </w:rPr>
        <w:t>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91E3741">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4C8DC2E3">
      <w:pPr>
        <w:pStyle w:val="15"/>
        <w:rPr>
          <w:rFonts w:hint="eastAsia"/>
        </w:rPr>
        <w:sectPr>
          <w:pgSz w:w="11906" w:h="16838"/>
          <w:pgMar w:top="1440" w:right="1800" w:bottom="1440" w:left="1800" w:header="851" w:footer="992" w:gutter="0"/>
          <w:cols w:space="425" w:num="1"/>
          <w:docGrid w:type="lines" w:linePitch="312" w:charSpace="0"/>
        </w:sectPr>
      </w:pPr>
    </w:p>
    <w:p w14:paraId="18762703">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086AD963">
      <w:pPr>
        <w:rPr>
          <w:rFonts w:hint="default"/>
          <w:lang w:val="en-US" w:eastAsia="zh-CN"/>
        </w:rPr>
        <w:sectPr>
          <w:pgSz w:w="11906" w:h="16838"/>
          <w:pgMar w:top="1440" w:right="1800" w:bottom="1440" w:left="1800" w:header="851" w:footer="992" w:gutter="0"/>
          <w:cols w:space="425" w:num="1"/>
          <w:docGrid w:type="lines" w:linePitch="312" w:charSpace="0"/>
        </w:sectPr>
      </w:pPr>
    </w:p>
    <w:tbl>
      <w:tblPr>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98"/>
        <w:gridCol w:w="1300"/>
        <w:gridCol w:w="1333"/>
        <w:gridCol w:w="3250"/>
        <w:gridCol w:w="1025"/>
        <w:gridCol w:w="1025"/>
        <w:gridCol w:w="1896"/>
        <w:gridCol w:w="1027"/>
        <w:gridCol w:w="1026"/>
        <w:gridCol w:w="1025"/>
      </w:tblGrid>
      <w:tr w14:paraId="418DF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13905" w:type="dxa"/>
            <w:gridSpan w:val="10"/>
            <w:tcBorders>
              <w:top w:val="nil"/>
              <w:left w:val="nil"/>
              <w:bottom w:val="nil"/>
              <w:right w:val="nil"/>
            </w:tcBorders>
            <w:shd w:val="clear"/>
            <w:vAlign w:val="center"/>
          </w:tcPr>
          <w:p w14:paraId="487D3B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bdr w:val="none" w:color="auto" w:sz="0" w:space="0"/>
                <w:lang w:val="en-US" w:eastAsia="zh-CN" w:bidi="ar"/>
              </w:rPr>
              <w:t>三、清单报价表</w:t>
            </w:r>
          </w:p>
        </w:tc>
      </w:tr>
      <w:tr w14:paraId="607D0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64A7A9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询价单位</w:t>
            </w:r>
          </w:p>
        </w:tc>
        <w:tc>
          <w:tcPr>
            <w:tcW w:w="4755" w:type="dxa"/>
            <w:gridSpan w:val="2"/>
            <w:tcBorders>
              <w:top w:val="single" w:color="000000" w:sz="4" w:space="0"/>
              <w:left w:val="single" w:color="000000" w:sz="4" w:space="0"/>
              <w:bottom w:val="single" w:color="000000" w:sz="4" w:space="0"/>
              <w:right w:val="single" w:color="000000" w:sz="4" w:space="0"/>
            </w:tcBorders>
            <w:shd w:val="clear"/>
            <w:vAlign w:val="center"/>
          </w:tcPr>
          <w:p w14:paraId="68A370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江苏省淮安市保安服务有限公司</w:t>
            </w:r>
          </w:p>
        </w:tc>
        <w:tc>
          <w:tcPr>
            <w:tcW w:w="2220" w:type="dxa"/>
            <w:gridSpan w:val="2"/>
            <w:tcBorders>
              <w:top w:val="single" w:color="000000" w:sz="4" w:space="0"/>
              <w:left w:val="single" w:color="000000" w:sz="4" w:space="0"/>
              <w:bottom w:val="single" w:color="000000" w:sz="4" w:space="0"/>
              <w:right w:val="single" w:color="000000" w:sz="4" w:space="0"/>
            </w:tcBorders>
            <w:shd w:val="clear"/>
            <w:vAlign w:val="center"/>
          </w:tcPr>
          <w:p w14:paraId="1FC448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2588B9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必填（盖章）</w:t>
            </w:r>
          </w:p>
        </w:tc>
      </w:tr>
      <w:tr w14:paraId="275E4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6DE57E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联系人</w:t>
            </w:r>
          </w:p>
        </w:tc>
        <w:tc>
          <w:tcPr>
            <w:tcW w:w="4755" w:type="dxa"/>
            <w:gridSpan w:val="2"/>
            <w:tcBorders>
              <w:top w:val="single" w:color="000000" w:sz="4" w:space="0"/>
              <w:left w:val="single" w:color="000000" w:sz="4" w:space="0"/>
              <w:bottom w:val="single" w:color="000000" w:sz="4" w:space="0"/>
              <w:right w:val="single" w:color="000000" w:sz="4" w:space="0"/>
            </w:tcBorders>
            <w:shd w:val="clear"/>
            <w:vAlign w:val="center"/>
          </w:tcPr>
          <w:p w14:paraId="111ED8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220" w:type="dxa"/>
            <w:gridSpan w:val="2"/>
            <w:tcBorders>
              <w:top w:val="single" w:color="000000" w:sz="4" w:space="0"/>
              <w:left w:val="single" w:color="000000" w:sz="4" w:space="0"/>
              <w:bottom w:val="single" w:color="000000" w:sz="4" w:space="0"/>
              <w:right w:val="single" w:color="000000" w:sz="4" w:space="0"/>
            </w:tcBorders>
            <w:shd w:val="clear"/>
            <w:vAlign w:val="center"/>
          </w:tcPr>
          <w:p w14:paraId="1B9A14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13220A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134EA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31E237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4755" w:type="dxa"/>
            <w:gridSpan w:val="2"/>
            <w:tcBorders>
              <w:top w:val="single" w:color="000000" w:sz="4" w:space="0"/>
              <w:left w:val="single" w:color="000000" w:sz="4" w:space="0"/>
              <w:bottom w:val="single" w:color="000000" w:sz="4" w:space="0"/>
              <w:right w:val="single" w:color="000000" w:sz="4" w:space="0"/>
            </w:tcBorders>
            <w:shd w:val="clear"/>
            <w:vAlign w:val="center"/>
          </w:tcPr>
          <w:p w14:paraId="743AD35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220" w:type="dxa"/>
            <w:gridSpan w:val="2"/>
            <w:tcBorders>
              <w:top w:val="single" w:color="000000" w:sz="4" w:space="0"/>
              <w:left w:val="single" w:color="000000" w:sz="4" w:space="0"/>
              <w:bottom w:val="single" w:color="000000" w:sz="4" w:space="0"/>
              <w:right w:val="single" w:color="000000" w:sz="4" w:space="0"/>
            </w:tcBorders>
            <w:shd w:val="clear"/>
            <w:vAlign w:val="center"/>
          </w:tcPr>
          <w:p w14:paraId="77AE06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0937AC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49BB8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4B82CB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4755" w:type="dxa"/>
            <w:gridSpan w:val="2"/>
            <w:tcBorders>
              <w:top w:val="single" w:color="000000" w:sz="4" w:space="0"/>
              <w:left w:val="single" w:color="000000" w:sz="4" w:space="0"/>
              <w:bottom w:val="single" w:color="000000" w:sz="4" w:space="0"/>
              <w:right w:val="single" w:color="000000" w:sz="4" w:space="0"/>
            </w:tcBorders>
            <w:shd w:val="clear"/>
            <w:vAlign w:val="center"/>
          </w:tcPr>
          <w:p w14:paraId="7B7946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bdr w:val="none" w:color="auto" w:sz="0" w:space="0"/>
                <w:lang w:val="en-US" w:eastAsia="zh-CN" w:bidi="ar"/>
              </w:rPr>
              <w:t>HABAccb@163.com</w:t>
            </w:r>
          </w:p>
        </w:tc>
        <w:tc>
          <w:tcPr>
            <w:tcW w:w="2220" w:type="dxa"/>
            <w:gridSpan w:val="2"/>
            <w:tcBorders>
              <w:top w:val="single" w:color="000000" w:sz="4" w:space="0"/>
              <w:left w:val="single" w:color="000000" w:sz="4" w:space="0"/>
              <w:bottom w:val="single" w:color="000000" w:sz="4" w:space="0"/>
              <w:right w:val="single" w:color="000000" w:sz="4" w:space="0"/>
            </w:tcBorders>
            <w:shd w:val="clear"/>
            <w:vAlign w:val="center"/>
          </w:tcPr>
          <w:p w14:paraId="072973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2922F3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749FF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220736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755" w:type="dxa"/>
            <w:gridSpan w:val="2"/>
            <w:tcBorders>
              <w:top w:val="single" w:color="000000" w:sz="4" w:space="0"/>
              <w:left w:val="single" w:color="000000" w:sz="4" w:space="0"/>
              <w:bottom w:val="single" w:color="000000" w:sz="4" w:space="0"/>
              <w:right w:val="single" w:color="000000" w:sz="4" w:space="0"/>
            </w:tcBorders>
            <w:shd w:val="clear"/>
            <w:vAlign w:val="center"/>
          </w:tcPr>
          <w:p w14:paraId="0037E6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220" w:type="dxa"/>
            <w:gridSpan w:val="2"/>
            <w:tcBorders>
              <w:top w:val="single" w:color="000000" w:sz="4" w:space="0"/>
              <w:left w:val="single" w:color="000000" w:sz="4" w:space="0"/>
              <w:bottom w:val="single" w:color="000000" w:sz="4" w:space="0"/>
              <w:right w:val="single" w:color="000000" w:sz="4" w:space="0"/>
            </w:tcBorders>
            <w:shd w:val="clear"/>
            <w:vAlign w:val="center"/>
          </w:tcPr>
          <w:p w14:paraId="5E0B06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33F416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0A748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71CB7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592A4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项目名称</w:t>
            </w:r>
          </w:p>
        </w:tc>
        <w:tc>
          <w:tcPr>
            <w:tcW w:w="4755"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50803B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技术参数</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9BA11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单位</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9157A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B0F5D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品牌型号</w:t>
            </w:r>
          </w:p>
        </w:tc>
        <w:tc>
          <w:tcPr>
            <w:tcW w:w="2220" w:type="dxa"/>
            <w:gridSpan w:val="2"/>
            <w:tcBorders>
              <w:top w:val="single" w:color="000000" w:sz="4" w:space="0"/>
              <w:left w:val="single" w:color="000000" w:sz="4" w:space="0"/>
              <w:bottom w:val="single" w:color="000000" w:sz="4" w:space="0"/>
              <w:right w:val="single" w:color="000000" w:sz="4" w:space="0"/>
            </w:tcBorders>
            <w:shd w:val="clear"/>
            <w:vAlign w:val="center"/>
          </w:tcPr>
          <w:p w14:paraId="4D01EF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金额（元）</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518D1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备注</w:t>
            </w:r>
          </w:p>
        </w:tc>
      </w:tr>
      <w:tr w14:paraId="29D94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A76CB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071BD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755"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623A6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1FE18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C2AC2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0853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1CA305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单价</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0AD04E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合价</w:t>
            </w: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E213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44048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5C695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409EF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集中式存储</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AF9DD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芯片自主可控</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46FAE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★CPU须满足“中国信息安全测评中心发布的安全可靠测评结果公告”或具有CNAS或CMA认证的检测机构出具的第三方检测报告证明（提供相关证明材料并加盖投标人电子签章，未提供作负偏离处理）</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010200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7B935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A48A1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华为，0ceanStor 5310</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9E883B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16461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restart"/>
            <w:tcBorders>
              <w:top w:val="nil"/>
              <w:left w:val="single" w:color="000000" w:sz="4" w:space="0"/>
              <w:bottom w:val="single" w:color="000000" w:sz="4" w:space="0"/>
              <w:right w:val="single" w:color="000000" w:sz="4" w:space="0"/>
            </w:tcBorders>
            <w:shd w:val="clear"/>
            <w:vAlign w:val="center"/>
          </w:tcPr>
          <w:p w14:paraId="491BC9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E826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3341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19F48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8F9A5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系统自主可控</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77921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★操作系统须满足“中国信息安全测评中心发布的安全可靠测评结果公告”或具有CNAS或CMA认证的检测机构出具的第三方检测报告证明（提供相关证明材料并加盖投标人电子签章，未提供作负偏离处理）</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02A3C2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0DB6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CA7BC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3DB6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587A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5C5DD1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90B4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909D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64D6B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72A347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SAN和NAS融合</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50E69E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支持SAN和NAS一体化，支持NAS协议（包括NFS、CIFS以及NDMP）、IP SAN和FC SAN协议，不需额外配置NAS网关，支持SAN和NAS共资源池，无需独立分配。</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B04D9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522F3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DA314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ADA8F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66876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7E4F027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C56F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DF1A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345E7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9887F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控制器扩展能力</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BA8D1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控制器≥2，支持控制器扩展，最大支持≥8控，可以跨控制器实现资源访问，LUN无控制器归属, 多控配置下能够负载到所有控制器</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1D380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D2B1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F585A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825B70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4B09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0AFE81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8801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5F42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E61A5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16B3AA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控制器配置</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8A407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★配置≥2个控制器，控制器采用多核处理器，控制器处理器总核心数≥64核。</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84873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DF1A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DFD1E5">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364597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A491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3CC4BD1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AE44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7B29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B879F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BBFEE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存储缓存容量</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730DB9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系统内总一级缓存容量配置≥256GB，且任一控制器一级缓存容量≥128GB（不含任何性能加速模块、FlashCache、PAM卡，SSD Cache、SCM等）</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4DB1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E4AD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538A5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404F2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717A9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139486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FA63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194F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3A804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3AAC31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前端主机接口类型</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7F269A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★配置≥8*16G FC，≥8*10GE，≥8*GE，满配光模块</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F093B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26F6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80D44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283B9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9F013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12981E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2EDE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B6BB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1A6DB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42E503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硬盘</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A2BA2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★≥30盘位，配置≥6个960GB企业级双端口SAS SSD NVME硬盘，≥24个6TB SAS硬盘</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9ADA8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6F86D4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850F2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6603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EBB0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74A348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9BC8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E359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129C3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7B4618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支持RAID</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288A67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支持RAID 0/1/5/6/10，支持在同一个RAID组内容忍任意3盘同时失效，数据不丢&amp;不中断业务</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CEA988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26906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1BFCB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4D644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490F9D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050DF1A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EA4D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D20D2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C9078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5D1C5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QoS</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5BCF2B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存储配置服务质量控制功能，支持按照 LUN、LUN组以及主机的方式进行流量控制。提供上限控制和下限保障两种 QoS 策略，支持 Burst 突发流量控制</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12386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E4E18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89CEF5">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8F06C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D27A7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5D93AC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4ED6F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F39B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AC5E5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D0E4B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快照</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17F03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采用ROW无损快照模式，提供无损快照功能，系统性能不因快照数量增加而下降</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2931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3F5ED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C214B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77D9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DD815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5857F0F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3D0B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A582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B6849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29D144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克隆</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6BE566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存储系统配置克隆功能，并且克隆的从 LUN 创建后无需等待数据同步完成即可映射给主机 I/O 访问，且不影响源 LUN 的业务</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66129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03211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F3E24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C06A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D28F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38FA317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6683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BFD20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84341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780ED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租户</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0D2080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存储系统配置SAN的多租户功能，多租户功能能够提供存储资源、网络和业务的隔离，客户端通过租户数据逻辑端口只能访问该租户内的共享，并且支持租户自管理。</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3FCE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63917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F21EC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1EE6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34627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145C061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7C2A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822C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7791B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7218F7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兼容性</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9534E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★本次提供的存储须免费接入现网警务云平台，兼容性列表可参照doc.hcs.huawei.com。（提供承诺书并加盖投标人电子签章，未提供作负偏离处理）</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BC9F8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12176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DA1DB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844A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3F26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3D01311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40FC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34380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0CC73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3F41CE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服务</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702230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★五年质保、硬盘不返还服务</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C336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5AE6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AA130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3DD3B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FEA27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405DCC8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07DE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6A68C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4732C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业务交换机</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449DA0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转发性能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069A8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★交换容量≥4.8Tbps，包转发率≥2000Mpps；</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0C2A75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A23A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2</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A5F31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华为，CE6857F-48S6CQ</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4C9157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F38BD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restart"/>
            <w:tcBorders>
              <w:top w:val="nil"/>
              <w:left w:val="single" w:color="000000" w:sz="4" w:space="0"/>
              <w:bottom w:val="single" w:color="000000" w:sz="4" w:space="0"/>
              <w:right w:val="single" w:color="000000" w:sz="4" w:space="0"/>
            </w:tcBorders>
            <w:shd w:val="clear"/>
            <w:vAlign w:val="center"/>
          </w:tcPr>
          <w:p w14:paraId="646D0B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69E4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85E12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D6DB65">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2631DD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硬件规格</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7F9E20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★关键芯片（CPU）须满足“中国信息安全测评中心发布的安全可靠测评结果公告”或具有CNAS或CMA认证的检测机构出具的第三方检测报告证明（提供相关证明材料并加盖投标人电子签章，未提供作负偏离处理）</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B9CDCD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DC308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C4AB9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41F31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99E9D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785FC8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E12F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3F8F7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98554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BD37F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端口要求</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0DEA31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★10GE光端口数量≥48个，40GE/100GE 光接口≥6个</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5D68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F337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25B08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E90BB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11F4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6D8C5F5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7932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EDE5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AA4775">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3AC558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二层功能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244A65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支持M-LAG或vPC或DRNI等跨机箱链路捆绑技术</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E5ADF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D813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8C13D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B98AA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C63C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7119C4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7833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C7EEF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3710F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3F7745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DCF7D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支持动态MAC、静态MAC和黑洞MAC表项</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F662C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FAA87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D0B5A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E063F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642F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638D71B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15B0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EBFD7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464DC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1BC5B3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三层功能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7E001A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支持RIP、OSPF、ISIS、BGP等IPv4动态路由协议</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218A2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DDA4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0F3B5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31CF1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7FD8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7F7472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9EAC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945F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C5317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2006909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69170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支持RIPng、OSPFv3、ISISv6、BGP4+等IPv6动态路由协议</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7505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73E89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BD042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F12E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EE38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1BBB960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A5EB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7406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4FC4E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22001CA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C6F0D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支持BFD for OSPF，BGP，IS-IS，Static Route</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BD264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E925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3731A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6CDA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7D1E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0E0488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48D2C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1CBB6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FF3FF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41736F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可靠性</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68583B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支持BFD，最小3.3ms发包间隔</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9DE32D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9E216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C2831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8423B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D692B3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127F0DF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0837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A5517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E8B7AB">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1EA039A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5B7494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 VRRP、VRRP 负载分担、BFD for VRRP</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0C5A7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C657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48B7E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3E345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AD47F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6A59A72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F363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853A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23D46C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12BED2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组播</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54C574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 IGMP、PIM-SM 等组播路由协议</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42798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D7F89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7FCD3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A1B8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84A9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77CE7E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849F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90656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9709B5">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4E2812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安全性</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5CBEB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支持方式Ddos、arp攻击和ICMP攻击，支持IP、MAC、端口和VLAN的组合绑定</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E7890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1D5E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5544F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6CE04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249DC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50CFA9E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ADD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43B3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071EC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152CA7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配置和维护</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3C552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支持Telemetry，支持全网路径探测，具备堆叠功能。</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7BC23A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36B7B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1FED7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CA74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91AF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00F159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C02E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BEE6E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361158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23227C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配置</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4C4D2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★电源模块≥2，万兆多模光模块≥48，40G多模光模块≥4，40G堆叠线缆≥2且长度≥3米，五年质保</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F4FB4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8D35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2ECB6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E960E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4B2C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55ECBB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57DC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36EF2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F5C96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存储交换机</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2CE0FE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转发性能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05609A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★交换容量≥4.8Tbps，包转发率≥2000Mpps；</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02B678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AEF5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2</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6256B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华为，CE6857F-48S6CQ</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78035E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284A3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restart"/>
            <w:tcBorders>
              <w:top w:val="nil"/>
              <w:left w:val="single" w:color="000000" w:sz="4" w:space="0"/>
              <w:bottom w:val="single" w:color="000000" w:sz="4" w:space="0"/>
              <w:right w:val="single" w:color="000000" w:sz="4" w:space="0"/>
            </w:tcBorders>
            <w:shd w:val="clear"/>
            <w:vAlign w:val="center"/>
          </w:tcPr>
          <w:p w14:paraId="73AC8D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9CF1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3C36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C3535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7662B7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硬件规格</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623F7A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★关键芯片（CPU）须满足“中国信息安全测评中心发布的安全可靠测评结果公告”或具有CNAS或CMA认证的检测机构出具的第三方检测报告证明（提供相关证明材料并加盖投标人电子签章，未提供作负偏离处理）</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E603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40C7E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DD46F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C09B8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0403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71DF0BF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9D2D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13DB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C1F25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7AB55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端口要求</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D279B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★10GE光端口数量≥48个，40GE/100GE 光接口≥6个</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B6894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44F20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9ABFE8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30B1C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A06B0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73557EA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8360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C082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0A6AF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D549D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二层功能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27A54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支持M-LAG或vPC或DRNI等跨机箱链路捆绑技术</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7D3F3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DACEF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520EC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C8BA2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9196C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2ED1C96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5200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C102B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84B9C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811B4B">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5861C3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支持动态MAC、静态MAC和黑洞MAC表项</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E104C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9379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DDE86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50E3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5E12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018240D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DD2C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B7DEC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AB721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3E71F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三层功能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65F05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支持RIP、OSPF、ISIS、BGP等IPv4动态路由协议</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909A1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17B6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3CBF15">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DB100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D561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1AFD1EA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20DD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AE6B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75902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4E70D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92A08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支持RIPng、OSPFv3、ISISv6、BGP4+等IPv6动态路由协议</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27778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D2A1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BDE09D5">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9EB5D5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D00F0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2257C1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5658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409A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85445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C051C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2FA0DF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支持BFD for OSPF，BGP，IS-IS，Static Route</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03ED6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C106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99198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9322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7FEC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1ED8B7F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BDF9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5C73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3BBCB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66089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可靠性</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FD385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支持BFD，最小3.3ms发包间隔</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0D93EC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0FECE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5819B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2CD1D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81E19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21E2632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C387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D882B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93898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D3B07B">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B46A0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 VRRP、VRRP 负载分担、BFD for VRRP</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1F91F4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FD92B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FC4B3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3A6A1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A4907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5967EAB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AD78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8879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BBC80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4A5DF5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组播</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500AB6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 IGMP、PIM-SM 等组播路由协议</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B318BB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9FDD2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16A4F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1FBD3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9CF6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1E11D6D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19FD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026E1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F3E95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38C223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安全性</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542F5C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支持方式Ddos、arp攻击和ICMP攻击，支持IP、MAC、端口和VLAN的组合绑定</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12D2B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AD443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C6BF5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7F75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753B4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667CB66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ED6F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498B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FD005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2A7BA2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配置和维护</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5886CC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支持Telemetry，支持全网路径探测，具备堆叠功能。</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03197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FF3C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519A0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7E2CC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685FA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77B8A6E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F1B5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5E0D2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A68F5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235D76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配置</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5F7E1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★电源模块≥2，万兆多模光模块≥48，40G多模光模块≥4，40G堆叠线缆≥2且长度≥3米，五年质保</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53DC06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B579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811AA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49336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8E16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0E9D9F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93DC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B8865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AAA7C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增强云专线交换机</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8708C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转发性能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75B536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★交换容量≥4.8Tbps，包转发率≥2000Mpps；</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3FA48D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BD1A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2</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B340C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华为，CE6857F-48S6CQ</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AB5235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9AD0B7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restart"/>
            <w:tcBorders>
              <w:top w:val="nil"/>
              <w:left w:val="single" w:color="000000" w:sz="4" w:space="0"/>
              <w:bottom w:val="single" w:color="000000" w:sz="4" w:space="0"/>
              <w:right w:val="single" w:color="000000" w:sz="4" w:space="0"/>
            </w:tcBorders>
            <w:shd w:val="clear"/>
            <w:vAlign w:val="center"/>
          </w:tcPr>
          <w:p w14:paraId="0D15ED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BA3A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B603D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49336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0BF7AE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硬件规格</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0E35AD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★关键芯片（CPU）须满足“中国信息安全测评中心发布的安全可靠测评结果公告”或具有CNAS或CMA认证的检测机构出具的第三方检测报告证明（提供相关证明材料并加盖投标人电子签章，未提供作负偏离处理）</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343A8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37FA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0E3A4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CF14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1CFF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2C10EF6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B8E2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88FA6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91864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4D1A2D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端口要求</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9DD35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★10GE光端口数量≥48个，40GE/100GE 光接口≥6个</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A8CAB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B005F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F243F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9B7BB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10E0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36D0FA7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66E3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43D5C9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702A65">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5FA36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二层功能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7D2005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支持M-LAG或vPC或DRNI等跨机箱链路捆绑技术</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62BB0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2365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BAC31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5047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E97B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6062BB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A414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CF813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0BF4F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C28BE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F9E65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支持动态MAC、静态MAC和黑洞MAC表项</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1F4650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EDBA7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8427B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B4DE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D4CF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1AE314C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40C0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A2C6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D0F6F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2515E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三层功能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C732A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支持RIP、OSPF、ISIS、BGP等IPv4动态路由协议</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A18A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A773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3857B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D58D1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B2E3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358DF2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43939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7846F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CEFCD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1A9DF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4AB15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支持RIPng、OSPFv3、ISISv6、BGP4+等IPv6动态路由协议</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C5AEC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CB66F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3BF4F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A2281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60C6B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630395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05D9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80615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991C2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D0F42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8FDE4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支持BFD for OSPF，BGP，IS-IS，Static Route</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00487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B8C4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E3DC3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BA70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6F6BF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41EA19F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B94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14D64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12D6E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3C4B9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可靠性</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8596D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支持BFD，最小3.3ms发包间隔</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F4FFD6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D78C1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569A2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F895C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BFB19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548729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8648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CB8EB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E8178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0730D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2B6DA9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 VRRP、VRRP 负载分担、BFD for VRRP</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9824AE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8D71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7E2A7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2C99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385D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54AF0E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FB74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F3EFE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EB73E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1C460A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组播</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4D3CA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 IGMP、PIM-SM 等组播路由协议</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2F4F6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E2BA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5D9A8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9381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D0520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35A48F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4B7C9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EC5DC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372B3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28732C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安全性</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6B5FED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支持方式Ddos、arp攻击和ICMP攻击，支持IP、MAC、端口和VLAN的组合绑定</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94D33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8C55F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E2239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E936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91299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7573B2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FECB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04B0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97D1C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C2ABE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配置和维护</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AA051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支持Telemetry，支持全网路径探测，具备堆叠功能。</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008DE9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35DA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75464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B77FB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2CC7C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62038B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63AD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D5FD7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9001E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24D9BF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配置</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7CB101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★电源模块≥2，万兆多模光模块≥48，40G多模光模块≥4，40G堆叠线缆≥2且长度≥3米，五年质保</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BD137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5DDAE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9A0FB2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D279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0464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3739DC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1309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65FBE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7FCC5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云管防火墙</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E90C8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整机性能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25655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★防火墙吞吐量≥50Gbps，最大并发连接数≥2000万，每秒新建连接数≥50万</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B0A04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249A6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2</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EBDA4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华为，USG6655F</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632FE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752E2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restart"/>
            <w:tcBorders>
              <w:top w:val="nil"/>
              <w:left w:val="single" w:color="000000" w:sz="4" w:space="0"/>
              <w:bottom w:val="single" w:color="000000" w:sz="4" w:space="0"/>
              <w:right w:val="single" w:color="000000" w:sz="4" w:space="0"/>
            </w:tcBorders>
            <w:shd w:val="clear"/>
            <w:vAlign w:val="center"/>
          </w:tcPr>
          <w:p w14:paraId="5DAAC0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1FD0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28D2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AA613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0C37BE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端口要求</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ECF2A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★千兆Combo接口≥8，千兆电口≥4，万兆光口≥10</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BBE1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6BD6A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5624D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C4A2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E1F3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1AD1DE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30FA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469C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33086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08644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硬件要求</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2B44DA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★关键芯片（CPU）须满足“中国信息安全测评中心发布的安全可靠测评结果公告”或具有CNAS或CMA认证的检测机构出具的第三方检测报告证明（提供相关证明材料并加盖投标人电子签章，未提供作负偏离处理）</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17AE1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6DF47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FC372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180F0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EAE3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73D61DE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1099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9BBFE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FBFF6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9E95F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07545C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支持冗余电源，要求防火墙安装了两块电源模块时，其中的一块可以进行热插拔</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5228F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0C131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FE36F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A9AC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35F74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0CB5FBA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5F65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7D4AB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74E7E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160E25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策略管理</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2B85BD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支持基于源IP/目的IP，服务类型，应用类型，安全域，时间段等字段进行安全策略规则的配置</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0049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65EA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D4C7C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DBF1C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B05A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172226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A6D7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BA6EC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08A53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38EAD3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路由功能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6E4A13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支持静态路由、策略路由、RIP、OSPF、BGP、ISIS等路由协议</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9714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F7E6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4E9AE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9577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8F01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68D02F0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BA64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00648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A0AB3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BD16C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IPv6</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5122B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支持IPv6协议栈、IPV6穿越技术、IPV6路由协议</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935C2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0CA8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C4B50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CD6E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8099C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4F7910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A84A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9A234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80071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216502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沙箱联动</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EA080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防火墙支持与沙箱联动，根据沙箱检测结果联动防火墙阻断未知APT攻击，且相同文件不用重复检测</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13ABA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FCA5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C6B7C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32B3C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A9D28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70F96C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C908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21D357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74FB8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705E2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NAT</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EEE89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支持全面NAT功能，对多种应用层协议支持ALG功能，包括DNS、FTP、H323、MSN、Netbios、PPTP、RSH、RTSP、SIP、SQLnet等</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D78F4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998F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6EECD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8E9FA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8DC4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0E3BB4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633C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67B16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845F8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1B3DFF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URL过滤</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F54A0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支持URL识别能力和URL地址识别库</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8371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47211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C74C9B">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C0357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3A6B5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4C74F0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DE99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78D6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F4E26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92632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协议识别</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6861F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可识别应用层协议数量≥6000种</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38AAD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AD73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F6BAC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F8A2A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11809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4AA2DE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27A1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72BF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AC588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45EDC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入侵防御及病毒防护</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589FD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系统预定义IPS签名数量≥20000，CVE和CNNVD编号的签名条目数≥11000</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4B31B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7153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AEA99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ED2E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D2860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221CE3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6A12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6FB4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CABCD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9184F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集中管理及易用性</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B007C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支持报文示踪功能，图形化展示报文在设备内部转发过程中经过的业务流程、被丢弃的原因等</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4FE341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1B72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61326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8353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0E88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4528DB1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DFE5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B3555F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D9DDC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4841B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7D50F0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支持通过Telemetry功能，实现上传设备的接口流量统计、CPU和内存数据等信息</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9E4EDE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9B40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E0E73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11A91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B8B25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112755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1B22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1C92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5DBE5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1F77F8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配置</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0875D6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★日志本地存储空间≥240GB，电源模块≥2，万兆多模光模块≥8，五年质保</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A2FC0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B958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3625CA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A6D8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4A211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280BC8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485DE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4B8F4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66F05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BMC交换机</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D8E95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转发性能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EE536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★交换容量≥670Gbps，包转发率≥160Mpps</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289B6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92106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F3F4B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华为，S5731-S48T4X</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7FB88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4D1D1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restart"/>
            <w:tcBorders>
              <w:top w:val="nil"/>
              <w:left w:val="single" w:color="000000" w:sz="4" w:space="0"/>
              <w:bottom w:val="single" w:color="000000" w:sz="4" w:space="0"/>
              <w:right w:val="single" w:color="000000" w:sz="4" w:space="0"/>
            </w:tcBorders>
            <w:shd w:val="clear"/>
            <w:vAlign w:val="center"/>
          </w:tcPr>
          <w:p w14:paraId="17ACDA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EED1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3FF37B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3BD45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4993F9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硬件规格</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ADF66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★关键芯片（CPU）须满足“中国信息安全测评中心发布的安全可靠测评结果公告”或具有CNAS或CMA认证的检测机构出具的第三方检测报告证明（提供相关证明材料并加盖投标人电子签章，未提供作负偏离处理）</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A4AE4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E5CB5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72CD6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EF13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8D34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2052384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3AC0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16FBF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52A46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D3339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端口要求</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55576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★10M/100M/1GE以太网端口≥48，10GE SFP+光端口≥4</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113467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1007C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C4604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2F57D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F23D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1E6E8F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C57C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DE0A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759DB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78CF8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用户管理</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EE306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支持统一用户管理功能，支持802.1X/MAC/Portal等多种认证方式，支持1000认证用户同时在线</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FD12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5C7F3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95C2F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6CD46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5119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54EF6E7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4F5C1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4EEB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0E61E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4820ED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二层</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291B5F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支持4K VLAN，支持QinQ，灵活QinQ、支持端口VLAN、协议VLAN、IP子网VLAN</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5BBFB5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D52B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63F53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87BC0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CD67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59B451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AC0A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16534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19AA1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352C00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三层</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05CC1C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支持静态路由、RIP v1/v2、OSPF、BGP、ISIS、RIPng、OSPFv3、ISISv6、BGP4+</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5092A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927BC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626CE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1206F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F26BC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49792CC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4494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C8ED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6A9A7C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16B178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镜像功能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06FABA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支持多个物理端口的流量镜像到一个端口</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1D089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A4B0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932D1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A8C5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1DD64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7D84CCD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899D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6626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EB87FB">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463EE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VxLAN</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24DA75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支持VxLAN功能，支持BGP EVPN，支持分布式 Anycast 网关；支持控制器基于WEB界面进行VxLAN Fabric配置并下发给交换机</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80E1C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26D2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3745C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52956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A525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69CA4AE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5E1B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B5519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FC7F2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395A6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安全功能</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0837ED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支持DHCPv6 Snooping，IP Source Guard，SAVI等安全特性</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D3B62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EE85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A3C70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68988D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1191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3954B4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6260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C94D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B4A212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DF320B">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F2DBF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支持安全启动</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81068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F94E5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9E414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4A6AA5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5242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0127FA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0796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1F043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E2E34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58FAD3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可靠性</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6BA3D8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支持G.8032（ERPS）标准以太环网协议，故障倒换收敛时间＜50ms</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4A285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F8B0C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F13C0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33A0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FBFDB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450B809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7BCC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26DA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3EA7D5">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41DAF0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智能运维</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F70F1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支持Telemetry技术，能够精准展现网络实时状态</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7983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29EA0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F7BC6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527D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E2FB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3CF4BC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7165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70DE5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2E34F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5AC1A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配置</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FFEC6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★电源模块≥2，万兆多模光模块≥4，五年质保</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0176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98052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68B5C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D9AA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94CA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10" w:type="dxa"/>
            <w:vMerge w:val="continue"/>
            <w:tcBorders>
              <w:top w:val="nil"/>
              <w:left w:val="single" w:color="000000" w:sz="4" w:space="0"/>
              <w:bottom w:val="single" w:color="000000" w:sz="4" w:space="0"/>
              <w:right w:val="single" w:color="000000" w:sz="4" w:space="0"/>
            </w:tcBorders>
            <w:shd w:val="clear"/>
            <w:vAlign w:val="center"/>
          </w:tcPr>
          <w:p w14:paraId="218DFA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27E2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C9630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2825" w:type="dxa"/>
            <w:gridSpan w:val="9"/>
            <w:tcBorders>
              <w:top w:val="single" w:color="000000" w:sz="4" w:space="0"/>
              <w:left w:val="single" w:color="000000" w:sz="4" w:space="0"/>
              <w:bottom w:val="single" w:color="000000" w:sz="4" w:space="0"/>
              <w:right w:val="single" w:color="000000" w:sz="4" w:space="0"/>
            </w:tcBorders>
            <w:shd w:val="clear"/>
            <w:vAlign w:val="center"/>
          </w:tcPr>
          <w:p w14:paraId="305FD6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66" name="Text_Box_5"/>
                  <wp:cNvGraphicFramePr/>
                  <a:graphic xmlns:a="http://schemas.openxmlformats.org/drawingml/2006/main">
                    <a:graphicData uri="http://schemas.openxmlformats.org/drawingml/2006/picture">
                      <pic:pic xmlns:pic="http://schemas.openxmlformats.org/drawingml/2006/picture">
                        <pic:nvPicPr>
                          <pic:cNvPr id="66"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47" name="Text_Box_9"/>
                  <wp:cNvGraphicFramePr/>
                  <a:graphic xmlns:a="http://schemas.openxmlformats.org/drawingml/2006/main">
                    <a:graphicData uri="http://schemas.openxmlformats.org/drawingml/2006/picture">
                      <pic:pic xmlns:pic="http://schemas.openxmlformats.org/drawingml/2006/picture">
                        <pic:nvPicPr>
                          <pic:cNvPr id="47" name="Text_Box_9"/>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56" name="Text_Box_5_SpCnt_1"/>
                  <wp:cNvGraphicFramePr/>
                  <a:graphic xmlns:a="http://schemas.openxmlformats.org/drawingml/2006/main">
                    <a:graphicData uri="http://schemas.openxmlformats.org/drawingml/2006/picture">
                      <pic:pic xmlns:pic="http://schemas.openxmlformats.org/drawingml/2006/picture">
                        <pic:nvPicPr>
                          <pic:cNvPr id="56" name="Text_Box_5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59" name="Text_Box_9_SpCnt_1"/>
                  <wp:cNvGraphicFramePr/>
                  <a:graphic xmlns:a="http://schemas.openxmlformats.org/drawingml/2006/main">
                    <a:graphicData uri="http://schemas.openxmlformats.org/drawingml/2006/picture">
                      <pic:pic xmlns:pic="http://schemas.openxmlformats.org/drawingml/2006/picture">
                        <pic:nvPicPr>
                          <pic:cNvPr id="59" name="Text_Box_9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50" name="Text_Box_12"/>
                  <wp:cNvGraphicFramePr/>
                  <a:graphic xmlns:a="http://schemas.openxmlformats.org/drawingml/2006/main">
                    <a:graphicData uri="http://schemas.openxmlformats.org/drawingml/2006/picture">
                      <pic:pic xmlns:pic="http://schemas.openxmlformats.org/drawingml/2006/picture">
                        <pic:nvPicPr>
                          <pic:cNvPr id="50" name="Text_Box_1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65" name="Text_Box_10"/>
                  <wp:cNvGraphicFramePr/>
                  <a:graphic xmlns:a="http://schemas.openxmlformats.org/drawingml/2006/main">
                    <a:graphicData uri="http://schemas.openxmlformats.org/drawingml/2006/picture">
                      <pic:pic xmlns:pic="http://schemas.openxmlformats.org/drawingml/2006/picture">
                        <pic:nvPicPr>
                          <pic:cNvPr id="65" name="Text_Box_10"/>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57" name="Text_Box_9_SpCnt_2"/>
                  <wp:cNvGraphicFramePr/>
                  <a:graphic xmlns:a="http://schemas.openxmlformats.org/drawingml/2006/main">
                    <a:graphicData uri="http://schemas.openxmlformats.org/drawingml/2006/picture">
                      <pic:pic xmlns:pic="http://schemas.openxmlformats.org/drawingml/2006/picture">
                        <pic:nvPicPr>
                          <pic:cNvPr id="57" name="Text_Box_9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51" name="Text_Box_7"/>
                  <wp:cNvGraphicFramePr/>
                  <a:graphic xmlns:a="http://schemas.openxmlformats.org/drawingml/2006/main">
                    <a:graphicData uri="http://schemas.openxmlformats.org/drawingml/2006/picture">
                      <pic:pic xmlns:pic="http://schemas.openxmlformats.org/drawingml/2006/picture">
                        <pic:nvPicPr>
                          <pic:cNvPr id="51" name="Text_Box_7"/>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48" name="Text_Box_5_SpCnt_2"/>
                  <wp:cNvGraphicFramePr/>
                  <a:graphic xmlns:a="http://schemas.openxmlformats.org/drawingml/2006/main">
                    <a:graphicData uri="http://schemas.openxmlformats.org/drawingml/2006/picture">
                      <pic:pic xmlns:pic="http://schemas.openxmlformats.org/drawingml/2006/picture">
                        <pic:nvPicPr>
                          <pic:cNvPr id="48" name="Text_Box_5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49" name="Text_Box_14"/>
                  <wp:cNvGraphicFramePr/>
                  <a:graphic xmlns:a="http://schemas.openxmlformats.org/drawingml/2006/main">
                    <a:graphicData uri="http://schemas.openxmlformats.org/drawingml/2006/picture">
                      <pic:pic xmlns:pic="http://schemas.openxmlformats.org/drawingml/2006/picture">
                        <pic:nvPicPr>
                          <pic:cNvPr id="49" name="Text_Box_14"/>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61" name="Text_Box_12_SpCnt_1"/>
                  <wp:cNvGraphicFramePr/>
                  <a:graphic xmlns:a="http://schemas.openxmlformats.org/drawingml/2006/main">
                    <a:graphicData uri="http://schemas.openxmlformats.org/drawingml/2006/picture">
                      <pic:pic xmlns:pic="http://schemas.openxmlformats.org/drawingml/2006/picture">
                        <pic:nvPicPr>
                          <pic:cNvPr id="61" name="Text_Box_12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52" name="Text_Box_7_SpCnt_1"/>
                  <wp:cNvGraphicFramePr/>
                  <a:graphic xmlns:a="http://schemas.openxmlformats.org/drawingml/2006/main">
                    <a:graphicData uri="http://schemas.openxmlformats.org/drawingml/2006/picture">
                      <pic:pic xmlns:pic="http://schemas.openxmlformats.org/drawingml/2006/picture">
                        <pic:nvPicPr>
                          <pic:cNvPr id="52" name="Text_Box_7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53" name="Text_Box_10_SpCnt_1"/>
                  <wp:cNvGraphicFramePr/>
                  <a:graphic xmlns:a="http://schemas.openxmlformats.org/drawingml/2006/main">
                    <a:graphicData uri="http://schemas.openxmlformats.org/drawingml/2006/picture">
                      <pic:pic xmlns:pic="http://schemas.openxmlformats.org/drawingml/2006/picture">
                        <pic:nvPicPr>
                          <pic:cNvPr id="53" name="Text_Box_10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54" name="Text_Box_5_SpCnt_3"/>
                  <wp:cNvGraphicFramePr/>
                  <a:graphic xmlns:a="http://schemas.openxmlformats.org/drawingml/2006/main">
                    <a:graphicData uri="http://schemas.openxmlformats.org/drawingml/2006/picture">
                      <pic:pic xmlns:pic="http://schemas.openxmlformats.org/drawingml/2006/picture">
                        <pic:nvPicPr>
                          <pic:cNvPr id="54" name="Text_Box_5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55" name="Text_Box_14_SpCnt_1"/>
                  <wp:cNvGraphicFramePr/>
                  <a:graphic xmlns:a="http://schemas.openxmlformats.org/drawingml/2006/main">
                    <a:graphicData uri="http://schemas.openxmlformats.org/drawingml/2006/picture">
                      <pic:pic xmlns:pic="http://schemas.openxmlformats.org/drawingml/2006/picture">
                        <pic:nvPicPr>
                          <pic:cNvPr id="55" name="Text_Box_14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62" name="Text_Box_12_SpCnt_2"/>
                  <wp:cNvGraphicFramePr/>
                  <a:graphic xmlns:a="http://schemas.openxmlformats.org/drawingml/2006/main">
                    <a:graphicData uri="http://schemas.openxmlformats.org/drawingml/2006/picture">
                      <pic:pic xmlns:pic="http://schemas.openxmlformats.org/drawingml/2006/picture">
                        <pic:nvPicPr>
                          <pic:cNvPr id="62" name="Text_Box_12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58" name="Text_Box_10_SpCnt_2"/>
                  <wp:cNvGraphicFramePr/>
                  <a:graphic xmlns:a="http://schemas.openxmlformats.org/drawingml/2006/main">
                    <a:graphicData uri="http://schemas.openxmlformats.org/drawingml/2006/picture">
                      <pic:pic xmlns:pic="http://schemas.openxmlformats.org/drawingml/2006/picture">
                        <pic:nvPicPr>
                          <pic:cNvPr id="58" name="Text_Box_10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60" name="Text_Box_9_SpCnt_3"/>
                  <wp:cNvGraphicFramePr/>
                  <a:graphic xmlns:a="http://schemas.openxmlformats.org/drawingml/2006/main">
                    <a:graphicData uri="http://schemas.openxmlformats.org/drawingml/2006/picture">
                      <pic:pic xmlns:pic="http://schemas.openxmlformats.org/drawingml/2006/picture">
                        <pic:nvPicPr>
                          <pic:cNvPr id="60" name="Text_Box_9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63" name="Text_Box_14_SpCnt_2"/>
                  <wp:cNvGraphicFramePr/>
                  <a:graphic xmlns:a="http://schemas.openxmlformats.org/drawingml/2006/main">
                    <a:graphicData uri="http://schemas.openxmlformats.org/drawingml/2006/picture">
                      <pic:pic xmlns:pic="http://schemas.openxmlformats.org/drawingml/2006/picture">
                        <pic:nvPicPr>
                          <pic:cNvPr id="63" name="Text_Box_14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64" name="Text_Box_7_SpCnt_2"/>
                  <wp:cNvGraphicFramePr/>
                  <a:graphic xmlns:a="http://schemas.openxmlformats.org/drawingml/2006/main">
                    <a:graphicData uri="http://schemas.openxmlformats.org/drawingml/2006/picture">
                      <pic:pic xmlns:pic="http://schemas.openxmlformats.org/drawingml/2006/picture">
                        <pic:nvPicPr>
                          <pic:cNvPr id="64" name="Text_Box_7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68" name="Text_Box_12_SpCnt_3"/>
                  <wp:cNvGraphicFramePr/>
                  <a:graphic xmlns:a="http://schemas.openxmlformats.org/drawingml/2006/main">
                    <a:graphicData uri="http://schemas.openxmlformats.org/drawingml/2006/picture">
                      <pic:pic xmlns:pic="http://schemas.openxmlformats.org/drawingml/2006/picture">
                        <pic:nvPicPr>
                          <pic:cNvPr id="68" name="Text_Box_12_SpCnt_3"/>
                          <pic:cNvPicPr/>
                        </pic:nvPicPr>
                        <pic:blipFill>
                          <a:blip r:embed="rId9"/>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67" name="Text_Box_7_SpCnt_3"/>
                  <wp:cNvGraphicFramePr/>
                  <a:graphic xmlns:a="http://schemas.openxmlformats.org/drawingml/2006/main">
                    <a:graphicData uri="http://schemas.openxmlformats.org/drawingml/2006/picture">
                      <pic:pic xmlns:pic="http://schemas.openxmlformats.org/drawingml/2006/picture">
                        <pic:nvPicPr>
                          <pic:cNvPr id="67" name="Text_Box_7_SpCnt_3"/>
                          <pic:cNvPicPr/>
                        </pic:nvPicPr>
                        <pic:blipFill>
                          <a:blip r:embed="rId10"/>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5324475</wp:posOffset>
                  </wp:positionH>
                  <wp:positionV relativeFrom="paragraph">
                    <wp:posOffset>0</wp:posOffset>
                  </wp:positionV>
                  <wp:extent cx="152400" cy="161925"/>
                  <wp:effectExtent l="0" t="0" r="0" b="0"/>
                  <wp:wrapNone/>
                  <wp:docPr id="69" name="Text_Box_10_SpCnt_3"/>
                  <wp:cNvGraphicFramePr/>
                  <a:graphic xmlns:a="http://schemas.openxmlformats.org/drawingml/2006/main">
                    <a:graphicData uri="http://schemas.openxmlformats.org/drawingml/2006/picture">
                      <pic:pic xmlns:pic="http://schemas.openxmlformats.org/drawingml/2006/picture">
                        <pic:nvPicPr>
                          <pic:cNvPr id="69" name="Text_Box_10_SpCnt_3"/>
                          <pic:cNvPicPr/>
                        </pic:nvPicPr>
                        <pic:blipFill>
                          <a:blip r:embed="rId11"/>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none" w:color="auto" w:sz="0" w:space="0"/>
                <w:lang w:val="en-US" w:eastAsia="zh-CN" w:bidi="ar"/>
              </w:rPr>
              <w:t>合计：</w:t>
            </w:r>
            <w:r>
              <w:rPr>
                <w:rFonts w:hint="eastAsia" w:ascii="宋体" w:hAnsi="宋体" w:eastAsia="宋体" w:cs="宋体"/>
                <w:i w:val="0"/>
                <w:iCs w:val="0"/>
                <w:color w:val="000000"/>
                <w:kern w:val="0"/>
                <w:sz w:val="20"/>
                <w:szCs w:val="20"/>
                <w:u w:val="single"/>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元</w:t>
            </w:r>
          </w:p>
        </w:tc>
      </w:tr>
      <w:tr w14:paraId="6D31F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40" w:hRule="atLeast"/>
        </w:trPr>
        <w:tc>
          <w:tcPr>
            <w:tcW w:w="13905" w:type="dxa"/>
            <w:gridSpan w:val="10"/>
            <w:tcBorders>
              <w:top w:val="single" w:color="000000" w:sz="4" w:space="0"/>
              <w:left w:val="single" w:color="000000" w:sz="4" w:space="0"/>
              <w:bottom w:val="single" w:color="000000" w:sz="4" w:space="0"/>
              <w:right w:val="single" w:color="000000" w:sz="4" w:space="0"/>
            </w:tcBorders>
            <w:shd w:val="clear"/>
            <w:vAlign w:val="center"/>
          </w:tcPr>
          <w:p w14:paraId="51E8E2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注：以上报价含可抵扣的增值税专用发票、运费、以及卸货相关服务费用。</w:t>
            </w:r>
          </w:p>
        </w:tc>
      </w:tr>
      <w:tr w14:paraId="6A40C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5184E0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是否接受保证金（控制价的2%）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5CC49A5">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A61F4B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2220" w:type="dxa"/>
            <w:gridSpan w:val="2"/>
            <w:tcBorders>
              <w:top w:val="single" w:color="000000" w:sz="4" w:space="0"/>
              <w:left w:val="single" w:color="000000" w:sz="4" w:space="0"/>
              <w:bottom w:val="single" w:color="000000" w:sz="4" w:space="0"/>
              <w:right w:val="single" w:color="000000" w:sz="4" w:space="0"/>
            </w:tcBorders>
            <w:shd w:val="clear"/>
            <w:vAlign w:val="center"/>
          </w:tcPr>
          <w:p w14:paraId="4CA84B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是否接受履约保证金（成交金额的10%）</w:t>
            </w:r>
          </w:p>
        </w:tc>
        <w:tc>
          <w:tcPr>
            <w:tcW w:w="4440" w:type="dxa"/>
            <w:gridSpan w:val="4"/>
            <w:tcBorders>
              <w:top w:val="single" w:color="000000" w:sz="4" w:space="0"/>
              <w:left w:val="single" w:color="000000" w:sz="4" w:space="0"/>
              <w:bottom w:val="single" w:color="000000" w:sz="4" w:space="0"/>
              <w:right w:val="single" w:color="000000" w:sz="4" w:space="0"/>
            </w:tcBorders>
            <w:shd w:val="clear"/>
            <w:vAlign w:val="center"/>
          </w:tcPr>
          <w:p w14:paraId="40A4940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36704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3D46D3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质保期：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6F050C9">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6F7AE9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5年</w:t>
            </w:r>
          </w:p>
        </w:tc>
        <w:tc>
          <w:tcPr>
            <w:tcW w:w="2220" w:type="dxa"/>
            <w:gridSpan w:val="2"/>
            <w:tcBorders>
              <w:top w:val="single" w:color="000000" w:sz="4" w:space="0"/>
              <w:left w:val="single" w:color="000000" w:sz="4" w:space="0"/>
              <w:bottom w:val="single" w:color="000000" w:sz="4" w:space="0"/>
              <w:right w:val="single" w:color="000000" w:sz="4" w:space="0"/>
            </w:tcBorders>
            <w:shd w:val="clear"/>
            <w:vAlign w:val="center"/>
          </w:tcPr>
          <w:p w14:paraId="1F9850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报价有效期：</w:t>
            </w:r>
          </w:p>
        </w:tc>
        <w:tc>
          <w:tcPr>
            <w:tcW w:w="4440" w:type="dxa"/>
            <w:gridSpan w:val="4"/>
            <w:tcBorders>
              <w:top w:val="single" w:color="000000" w:sz="4" w:space="0"/>
              <w:left w:val="single" w:color="000000" w:sz="4" w:space="0"/>
              <w:bottom w:val="single" w:color="000000" w:sz="4" w:space="0"/>
              <w:right w:val="single" w:color="000000" w:sz="4" w:space="0"/>
            </w:tcBorders>
            <w:shd w:val="clear"/>
            <w:vAlign w:val="center"/>
          </w:tcPr>
          <w:p w14:paraId="662F83A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0541C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239350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供货期：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74A4666A">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523C9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15天</w:t>
            </w:r>
          </w:p>
        </w:tc>
        <w:tc>
          <w:tcPr>
            <w:tcW w:w="2220" w:type="dxa"/>
            <w:gridSpan w:val="2"/>
            <w:tcBorders>
              <w:top w:val="single" w:color="000000" w:sz="4" w:space="0"/>
              <w:left w:val="single" w:color="000000" w:sz="4" w:space="0"/>
              <w:bottom w:val="single" w:color="000000" w:sz="4" w:space="0"/>
              <w:right w:val="single" w:color="000000" w:sz="4" w:space="0"/>
            </w:tcBorders>
            <w:shd w:val="clear"/>
            <w:vAlign w:val="center"/>
          </w:tcPr>
          <w:p w14:paraId="14F631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付款方式</w:t>
            </w:r>
          </w:p>
        </w:tc>
        <w:tc>
          <w:tcPr>
            <w:tcW w:w="4440" w:type="dxa"/>
            <w:gridSpan w:val="4"/>
            <w:tcBorders>
              <w:top w:val="single" w:color="000000" w:sz="4" w:space="0"/>
              <w:left w:val="single" w:color="000000" w:sz="4" w:space="0"/>
              <w:bottom w:val="single" w:color="000000" w:sz="4" w:space="0"/>
              <w:right w:val="single" w:color="000000" w:sz="4" w:space="0"/>
            </w:tcBorders>
            <w:shd w:val="clear"/>
            <w:vAlign w:val="center"/>
          </w:tcPr>
          <w:p w14:paraId="5BAE44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合同签订后个7日内支付40%预付款，货到验收合格后2个月内付清其余的货款</w:t>
            </w:r>
          </w:p>
        </w:tc>
      </w:tr>
    </w:tbl>
    <w:p w14:paraId="632E0F79">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1、付款条件:合同签订后个7日内支付40%预付款，货到验收合格后2个月内付清其余的货款。注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4741F2A"/>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4F94AB5"/>
    <w:rsid w:val="157C124F"/>
    <w:rsid w:val="15B405D8"/>
    <w:rsid w:val="173B2189"/>
    <w:rsid w:val="17CE6EF3"/>
    <w:rsid w:val="185D2018"/>
    <w:rsid w:val="1870435E"/>
    <w:rsid w:val="18B65219"/>
    <w:rsid w:val="193251CA"/>
    <w:rsid w:val="1959078F"/>
    <w:rsid w:val="1A48720E"/>
    <w:rsid w:val="1B811C42"/>
    <w:rsid w:val="1C1414B5"/>
    <w:rsid w:val="1C44694B"/>
    <w:rsid w:val="1CB642A6"/>
    <w:rsid w:val="1CBE542C"/>
    <w:rsid w:val="1E434544"/>
    <w:rsid w:val="1F444EB4"/>
    <w:rsid w:val="1F741D8C"/>
    <w:rsid w:val="1FC0011B"/>
    <w:rsid w:val="1FF000D2"/>
    <w:rsid w:val="1FF040AD"/>
    <w:rsid w:val="200C3464"/>
    <w:rsid w:val="23B60935"/>
    <w:rsid w:val="245503E6"/>
    <w:rsid w:val="24BF2D95"/>
    <w:rsid w:val="259D1AFE"/>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4B4BD9"/>
    <w:rsid w:val="37A7439E"/>
    <w:rsid w:val="37CA2BC5"/>
    <w:rsid w:val="38477E23"/>
    <w:rsid w:val="38544E55"/>
    <w:rsid w:val="39963E4D"/>
    <w:rsid w:val="3B0F7CBC"/>
    <w:rsid w:val="3B275F4B"/>
    <w:rsid w:val="3E015FF2"/>
    <w:rsid w:val="3E5157CB"/>
    <w:rsid w:val="40130CAF"/>
    <w:rsid w:val="420E65EA"/>
    <w:rsid w:val="42BF1B92"/>
    <w:rsid w:val="435E2995"/>
    <w:rsid w:val="43966372"/>
    <w:rsid w:val="44EF43A5"/>
    <w:rsid w:val="46AE2EAA"/>
    <w:rsid w:val="47D32116"/>
    <w:rsid w:val="48832749"/>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EB9237C"/>
    <w:rsid w:val="5F0458F0"/>
    <w:rsid w:val="5FE226DD"/>
    <w:rsid w:val="60C33852"/>
    <w:rsid w:val="61547E11"/>
    <w:rsid w:val="61852A60"/>
    <w:rsid w:val="62567581"/>
    <w:rsid w:val="64467711"/>
    <w:rsid w:val="64E752C4"/>
    <w:rsid w:val="65F729C7"/>
    <w:rsid w:val="66934D57"/>
    <w:rsid w:val="66A27154"/>
    <w:rsid w:val="677551D7"/>
    <w:rsid w:val="69FD1FFD"/>
    <w:rsid w:val="6A2B5BCA"/>
    <w:rsid w:val="6AA75C6E"/>
    <w:rsid w:val="6BB31049"/>
    <w:rsid w:val="6BF15785"/>
    <w:rsid w:val="6CF430F2"/>
    <w:rsid w:val="6D3C0639"/>
    <w:rsid w:val="6DB96BEC"/>
    <w:rsid w:val="6F321DFD"/>
    <w:rsid w:val="6F575DD1"/>
    <w:rsid w:val="70155795"/>
    <w:rsid w:val="702E6762"/>
    <w:rsid w:val="70314EAA"/>
    <w:rsid w:val="706B3AE0"/>
    <w:rsid w:val="71270FB3"/>
    <w:rsid w:val="71E07B02"/>
    <w:rsid w:val="72C34258"/>
    <w:rsid w:val="73CE218C"/>
    <w:rsid w:val="74AA472D"/>
    <w:rsid w:val="79DA1D09"/>
    <w:rsid w:val="7A182199"/>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162</Words>
  <Characters>164</Characters>
  <Lines>0</Lines>
  <Paragraphs>0</Paragraphs>
  <TotalTime>8</TotalTime>
  <ScaleCrop>false</ScaleCrop>
  <LinksUpToDate>false</LinksUpToDate>
  <CharactersWithSpaces>283</CharactersWithSpaces>
  <Application>WPS Office_12.1.0.20754_F1E327BC-269C-435d-A152-05C5408002CA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cp:lastModifiedBy>
  <cp:lastPrinted>2023-11-07T01:59:00Z</cp:lastPrinted>
  <dcterms:modified xsi:type="dcterms:W3CDTF">2025-03-31T02:09:02Z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2052-12.1.0.20754</vt:lpwstr>
  </property>
  <property fmtid="{D5CDD505-2E9C-101B-9397-08002B2CF9AE}" pid="3" name="ICV">
    <vt:lpwstr>A6CA3B39E6A1416D978A950A1FA88D83_13</vt:lpwstr>
  </property>
  <property fmtid="{D5CDD505-2E9C-101B-9397-08002B2CF9AE}" pid="4" name="KSOTemplateDocerSaveRecord">
    <vt:lpwstr>eyJoZGlkIjoiMTdmMDNkNWQ0ZWMxNjY0YzI3ODdkN2UzOWY5OGRlNzEifQ==</vt:lpwstr>
  </property>
</Properties>
</file>