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bookmarkStart w:id="0" w:name="_GoBack"/>
      <w:r>
        <w:rPr>
          <w:rFonts w:hint="eastAsia" w:ascii="宋体" w:hAnsi="宋体" w:eastAsia="宋体" w:cs="宋体"/>
          <w:b/>
          <w:i w:val="0"/>
          <w:iCs w:val="0"/>
          <w:color w:val="000000"/>
          <w:kern w:val="0"/>
          <w:sz w:val="48"/>
          <w:szCs w:val="48"/>
          <w:u w:val="none"/>
          <w:lang w:val="en-US" w:eastAsia="zh-CN" w:bidi="ar"/>
        </w:rPr>
        <w:t>摄像机及相关设备</w:t>
      </w:r>
      <w:bookmarkEnd w:id="0"/>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91E374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C8DC2E3">
      <w:pPr>
        <w:pStyle w:val="15"/>
        <w:rPr>
          <w:rFonts w:hint="eastAsia"/>
        </w:rPr>
        <w:sectPr>
          <w:pgSz w:w="11906" w:h="16838"/>
          <w:pgMar w:top="1440" w:right="1800" w:bottom="1440" w:left="1800" w:header="851" w:footer="992" w:gutter="0"/>
          <w:cols w:space="425" w:num="1"/>
          <w:docGrid w:type="lines" w:linePitch="312" w:charSpace="0"/>
        </w:sectPr>
      </w:pPr>
    </w:p>
    <w:p w14:paraId="0B8F0C25">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2.4、原厂授权。(原厂直接参与无需提供此项)</w:t>
      </w:r>
    </w:p>
    <w:p w14:paraId="78E873D6">
      <w:pPr>
        <w:rPr>
          <w:rFonts w:hint="default"/>
          <w:lang w:val="en-US" w:eastAsia="zh-CN"/>
        </w:rPr>
        <w:sectPr>
          <w:pgSz w:w="11906" w:h="16838"/>
          <w:pgMar w:top="1440" w:right="1800" w:bottom="1440" w:left="1800" w:header="851" w:footer="992" w:gutter="0"/>
          <w:cols w:space="425" w:num="1"/>
          <w:docGrid w:type="lines" w:linePitch="312" w:charSpace="0"/>
        </w:sectPr>
      </w:pPr>
    </w:p>
    <w:tbl>
      <w:tblPr>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85"/>
        <w:gridCol w:w="1489"/>
        <w:gridCol w:w="4935"/>
        <w:gridCol w:w="1080"/>
        <w:gridCol w:w="1005"/>
        <w:gridCol w:w="1170"/>
        <w:gridCol w:w="1230"/>
        <w:gridCol w:w="2351"/>
      </w:tblGrid>
      <w:tr w14:paraId="0489E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5" w:hRule="atLeast"/>
        </w:trPr>
        <w:tc>
          <w:tcPr>
            <w:tcW w:w="13845" w:type="dxa"/>
            <w:gridSpan w:val="8"/>
            <w:tcBorders>
              <w:top w:val="nil"/>
              <w:left w:val="nil"/>
              <w:bottom w:val="nil"/>
              <w:right w:val="nil"/>
            </w:tcBorders>
            <w:shd w:val="clear"/>
            <w:vAlign w:val="center"/>
          </w:tcPr>
          <w:p w14:paraId="7AA089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bdr w:val="none" w:color="auto" w:sz="0" w:space="0"/>
                <w:lang w:val="en-US" w:eastAsia="zh-CN" w:bidi="ar"/>
              </w:rPr>
              <w:t>三、清单报价表</w:t>
            </w:r>
          </w:p>
        </w:tc>
      </w:tr>
      <w:tr w14:paraId="699A6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65B60F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询价单位</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644C6B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江苏省淮安市保安服务有限公司</w:t>
            </w: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725EC8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报价单位</w:t>
            </w:r>
          </w:p>
        </w:tc>
        <w:tc>
          <w:tcPr>
            <w:tcW w:w="4751" w:type="dxa"/>
            <w:gridSpan w:val="3"/>
            <w:tcBorders>
              <w:top w:val="single" w:color="000000" w:sz="4" w:space="0"/>
              <w:left w:val="nil"/>
              <w:bottom w:val="single" w:color="000000" w:sz="4" w:space="0"/>
              <w:right w:val="single" w:color="000000" w:sz="4" w:space="0"/>
            </w:tcBorders>
            <w:shd w:val="clear"/>
            <w:noWrap/>
            <w:vAlign w:val="center"/>
          </w:tcPr>
          <w:p w14:paraId="2CFD02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必填（盖章）</w:t>
            </w:r>
          </w:p>
        </w:tc>
      </w:tr>
      <w:tr w14:paraId="26B85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32C9E3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联系人</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47C87D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191A8E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法定代表人或授权委托人</w:t>
            </w:r>
          </w:p>
        </w:tc>
        <w:tc>
          <w:tcPr>
            <w:tcW w:w="4751" w:type="dxa"/>
            <w:gridSpan w:val="3"/>
            <w:tcBorders>
              <w:top w:val="single" w:color="000000" w:sz="4" w:space="0"/>
              <w:left w:val="nil"/>
              <w:bottom w:val="single" w:color="000000" w:sz="4" w:space="0"/>
              <w:right w:val="single" w:color="000000" w:sz="4" w:space="0"/>
            </w:tcBorders>
            <w:shd w:val="clear"/>
            <w:noWrap/>
            <w:vAlign w:val="center"/>
          </w:tcPr>
          <w:p w14:paraId="19FEB1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0319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7CB488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1FC0BC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382EEF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电话</w:t>
            </w:r>
          </w:p>
        </w:tc>
        <w:tc>
          <w:tcPr>
            <w:tcW w:w="4751" w:type="dxa"/>
            <w:gridSpan w:val="3"/>
            <w:tcBorders>
              <w:top w:val="single" w:color="000000" w:sz="4" w:space="0"/>
              <w:left w:val="nil"/>
              <w:bottom w:val="single" w:color="000000" w:sz="4" w:space="0"/>
              <w:right w:val="single" w:color="000000" w:sz="4" w:space="0"/>
            </w:tcBorders>
            <w:shd w:val="clear"/>
            <w:noWrap/>
            <w:vAlign w:val="center"/>
          </w:tcPr>
          <w:p w14:paraId="38FB9A3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0A775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29DBA83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3950076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bdr w:val="none" w:color="auto" w:sz="0" w:space="0"/>
                <w:lang w:val="en-US" w:eastAsia="zh-CN" w:bidi="ar"/>
              </w:rPr>
              <w:t>HABAccb@163.com</w:t>
            </w: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51C35B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邮箱</w:t>
            </w:r>
          </w:p>
        </w:tc>
        <w:tc>
          <w:tcPr>
            <w:tcW w:w="4751" w:type="dxa"/>
            <w:gridSpan w:val="3"/>
            <w:tcBorders>
              <w:top w:val="single" w:color="000000" w:sz="4" w:space="0"/>
              <w:left w:val="nil"/>
              <w:bottom w:val="single" w:color="000000" w:sz="4" w:space="0"/>
              <w:right w:val="single" w:color="000000" w:sz="4" w:space="0"/>
            </w:tcBorders>
            <w:shd w:val="clear"/>
            <w:noWrap/>
            <w:vAlign w:val="center"/>
          </w:tcPr>
          <w:p w14:paraId="61D008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5E87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34BAC1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658275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2CEAF8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报价日期</w:t>
            </w:r>
          </w:p>
        </w:tc>
        <w:tc>
          <w:tcPr>
            <w:tcW w:w="4751" w:type="dxa"/>
            <w:gridSpan w:val="3"/>
            <w:tcBorders>
              <w:top w:val="single" w:color="000000" w:sz="4" w:space="0"/>
              <w:left w:val="nil"/>
              <w:bottom w:val="single" w:color="000000" w:sz="4" w:space="0"/>
              <w:right w:val="single" w:color="000000" w:sz="4" w:space="0"/>
            </w:tcBorders>
            <w:shd w:val="clear"/>
            <w:noWrap/>
            <w:vAlign w:val="center"/>
          </w:tcPr>
          <w:p w14:paraId="44BF932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none" w:color="auto" w:sz="0" w:space="0"/>
                <w:lang w:val="en-US" w:eastAsia="zh-CN" w:bidi="ar"/>
              </w:rPr>
              <w:t>必填</w:t>
            </w:r>
          </w:p>
        </w:tc>
      </w:tr>
      <w:tr w14:paraId="5A5D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5" w:type="dxa"/>
            <w:vMerge w:val="restart"/>
            <w:tcBorders>
              <w:top w:val="single" w:color="000000" w:sz="4" w:space="0"/>
              <w:left w:val="single" w:color="000000" w:sz="4" w:space="0"/>
              <w:bottom w:val="single" w:color="000000" w:sz="4" w:space="0"/>
              <w:right w:val="single" w:color="000000" w:sz="4" w:space="0"/>
            </w:tcBorders>
            <w:shd w:val="clear"/>
            <w:vAlign w:val="center"/>
          </w:tcPr>
          <w:p w14:paraId="59D529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489" w:type="dxa"/>
            <w:vMerge w:val="restart"/>
            <w:tcBorders>
              <w:top w:val="single" w:color="000000" w:sz="4" w:space="0"/>
              <w:left w:val="single" w:color="000000" w:sz="4" w:space="0"/>
              <w:bottom w:val="single" w:color="000000" w:sz="4" w:space="0"/>
              <w:right w:val="single" w:color="000000" w:sz="4" w:space="0"/>
            </w:tcBorders>
            <w:shd w:val="clear"/>
            <w:vAlign w:val="center"/>
          </w:tcPr>
          <w:p w14:paraId="0BA082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4935" w:type="dxa"/>
            <w:vMerge w:val="restart"/>
            <w:tcBorders>
              <w:top w:val="single" w:color="000000" w:sz="4" w:space="0"/>
              <w:left w:val="single" w:color="000000" w:sz="4" w:space="0"/>
              <w:bottom w:val="single" w:color="000000" w:sz="4" w:space="0"/>
              <w:right w:val="single" w:color="000000" w:sz="4" w:space="0"/>
            </w:tcBorders>
            <w:shd w:val="clear"/>
            <w:vAlign w:val="center"/>
          </w:tcPr>
          <w:p w14:paraId="039554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技术参数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47F71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1005" w:type="dxa"/>
            <w:vMerge w:val="restart"/>
            <w:tcBorders>
              <w:top w:val="single" w:color="000000" w:sz="4" w:space="0"/>
              <w:left w:val="single" w:color="000000" w:sz="4" w:space="0"/>
              <w:bottom w:val="single" w:color="000000" w:sz="4" w:space="0"/>
              <w:right w:val="single" w:color="000000" w:sz="4" w:space="0"/>
            </w:tcBorders>
            <w:shd w:val="clear"/>
            <w:vAlign w:val="center"/>
          </w:tcPr>
          <w:p w14:paraId="721E4D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2400" w:type="dxa"/>
            <w:gridSpan w:val="2"/>
            <w:tcBorders>
              <w:top w:val="single" w:color="000000" w:sz="4" w:space="0"/>
              <w:left w:val="single" w:color="000000" w:sz="4" w:space="0"/>
              <w:bottom w:val="single" w:color="000000" w:sz="4" w:space="0"/>
              <w:right w:val="single" w:color="000000" w:sz="4" w:space="0"/>
            </w:tcBorders>
            <w:shd w:val="clear"/>
            <w:vAlign w:val="center"/>
          </w:tcPr>
          <w:p w14:paraId="69AF845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金额（元）</w:t>
            </w:r>
          </w:p>
        </w:tc>
        <w:tc>
          <w:tcPr>
            <w:tcW w:w="2351" w:type="dxa"/>
            <w:vMerge w:val="restart"/>
            <w:tcBorders>
              <w:top w:val="single" w:color="000000" w:sz="4" w:space="0"/>
              <w:left w:val="single" w:color="000000" w:sz="4" w:space="0"/>
              <w:bottom w:val="single" w:color="000000" w:sz="4" w:space="0"/>
              <w:right w:val="single" w:color="000000" w:sz="4" w:space="0"/>
            </w:tcBorders>
            <w:shd w:val="clear"/>
            <w:vAlign w:val="center"/>
          </w:tcPr>
          <w:p w14:paraId="35DEA0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备注所投品牌型号</w:t>
            </w:r>
          </w:p>
        </w:tc>
      </w:tr>
      <w:tr w14:paraId="0051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64E13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48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58BB8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493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5A658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A7BA7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FAC7C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50C82A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D8BBE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合价</w:t>
            </w:r>
          </w:p>
        </w:tc>
        <w:tc>
          <w:tcPr>
            <w:tcW w:w="2351"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4E1125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F852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785B2B4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489" w:type="dxa"/>
            <w:tcBorders>
              <w:top w:val="single" w:color="000000" w:sz="4" w:space="0"/>
              <w:left w:val="single" w:color="000000" w:sz="4" w:space="0"/>
              <w:bottom w:val="single" w:color="000000" w:sz="4" w:space="0"/>
              <w:right w:val="single" w:color="000000" w:sz="4" w:space="0"/>
            </w:tcBorders>
            <w:shd w:val="clear"/>
            <w:vAlign w:val="center"/>
          </w:tcPr>
          <w:p w14:paraId="165505E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900万电子警察抓拍一体化摄像机</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2541316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1)传感器靶面尺寸:≥1英寸，内置GPU芯片；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2)★分辨率:≥4096×2160；（提供公安部检测机构出具的检测报告复印件加盖投标人公章）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3)帧率:≥25帧/秒；</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4)支持线圈+视频切换方式检测、线圈+视频混合检测；</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5)摄像机内置红绿灯状态视频检测、车辆视频检测、车牌识别、车身颜色识别、车标识别功能；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6)摄像机内置交通行为识别功能，具备车辆不按车道行驶、不按交通信号灯指示通行、不按导向箭头指示通行、倒车、逆行、压线行驶等行为的识别和记录功能；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7)支持车牌识别功能，白天、夜晚车牌识别准确率≥95%；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8)支持车辆捕获功能，白天准确率≥95%，晚上准确率≥95%；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9)支持自动区分机动车（不含摩托车）、二轮车（摩托车、自行车，电动二轮车）、三轮车和行人，类型区分准确率≥90%，非机动车、行人准确率白天、晚上≥92%；</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10)★支持车辆不按导向车道行驶行为抓拍，白天准确率≥98%，晚上准确率≥95%；（提供公安部检测机构出具的检测报告复印件加盖投标人公章）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11)★支持车辆闯红灯行为抓拍功能，白天准确率≥98%，晚上准确率≥95%； （提供公安部检测机构出具的检测报告复印件加盖投标人公章）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12)支持不低于13种车身颜色识别，包括:黑、白、灰、红、绿、蓝、黄、粉、紫、棕、青、金、橙,白天准确率≥95%，晚上准确率≥90%；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13）支持机动车占用非机动车道抓拍，支持占用专用车道抓拍，白天准确率≥98%，晚上准确率≥95%；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14）支持不低于8种常见车型识别，包括大客车、中型客车、大货车、中型货车、小货车、面包车、轿车及SUV、MPV等，日间车型识别率≥95%；夜间车型识别率≥90%；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15）视频压缩支持H.265、H.264、M-JPEG；输出图片格式:JPEG；</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16）包含高清镜头、室外防护罩、防雷（含网络和电源）防雷设备；其中高清镜头靶面尺寸与摄像机配套一致；室外防护罩不低于18寸。</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★满足《闯红灯自动记录系统通用技术条件》（GA/T496-2014）、《道路交通安全违法行为图像取证技术规范》（GA/T 832-2014）、《公共安全视频监控联网信息安全技术要求》（GB35114-2017）安全能力等级达到 A 级相关要求。（提供公安部检测机构出具的检测报告复印件加盖投标人公章）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88355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4E90BA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542781A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70E5B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6B49557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D8D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152DFA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489" w:type="dxa"/>
            <w:tcBorders>
              <w:top w:val="single" w:color="000000" w:sz="4" w:space="0"/>
              <w:left w:val="single" w:color="000000" w:sz="4" w:space="0"/>
              <w:bottom w:val="single" w:color="000000" w:sz="4" w:space="0"/>
              <w:right w:val="single" w:color="000000" w:sz="4" w:space="0"/>
            </w:tcBorders>
            <w:shd w:val="clear"/>
            <w:vAlign w:val="center"/>
          </w:tcPr>
          <w:p w14:paraId="10DFBD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900万卡口抓拍一体化摄像机（环保型）</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32A0B9C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1)传感器靶面尺寸:≥1英寸，内置GPU芯片；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2)★分辨率:≥4096×2160；（提供公安部检测机构出具的检测报告复印件加盖投标人公章）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3)帧率:≥25帧/秒；</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4)支持线圈+视频切换方式检测、线圈+视频混合检测；</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5)摄像机内置车辆视频检测、车牌识别、车身颜色识别、车标识别功能；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6)摄像机内置交通行为识别功能，具备车辆不按车道行驶、不按导向箭头指示通行、倒车、逆行、压线行驶等行为的识别和记录功能；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7)支持车牌识别功能，白天、夜晚车牌识别准确率≥95%；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8)支持车辆捕获功能，白天准确率≥95%，晚上准确率≥95%；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9)支持自动区分机动车（不含摩托车）、二轮车（摩托车、自行车，电动二轮车）、三轮车和行人，类型区分准确率≥90%，非机动车、行人准确率白天、晚上≥92%；</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10)★支持驾驶员打电话、未系安全带检测识别功能， 白天准确率≥98%，晚上准确率≥95%；（提供公安部检测机构出具的检测报告复印件加盖投标人公章）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12)支持不低于13种车身颜色识别，包括:黑、白、灰、红、绿、蓝、黄、粉、紫、棕、青、金、橙,白天准确率≥95%，晚上准确率≥90%；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13）★支持配置爆闪灯白天和夜晚两种模式，可设置时间自动切换日夜模式，白天为白光，夜晚为红外；（提供公安部检测机构出具的检测报告复印件加盖投标人公章）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14）支持机动车占用非机动车道抓拍，支持占用专用车道抓拍，白天准确率≥98%，晚上准确率≥95%；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15）支持不低于8种常见车型识别，包括大客车、中型客车、大货车、中型货车、小货车、面包车、轿车及SUV、MPV等，日间车型识别率≥95%；夜间车型识别率≥90%；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16）★可对监视画面人脸进行检测、跟踪和抓拍，人脸抠图，确保每车道均可获取车辆号牌及清晰的驾乘人员人脸图片；（提供公安部检测机构出具的检测报告复印件加盖投标人公章）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17）★支持非机动车不戴头盔、不按交通信号通行、逆向行驶、驶入机动车车道等行为抓拍；（提供公安部检测机构出具的检测报告复印件加盖投标人公章）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18）视频压缩支持H.265、H.264、M-JPEG； 输出图片格式:JPEG；</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19）支持内置滤光片自动切换，可自动切换夜间使用的滤光片或白天使用的带偏振功能的滤光片；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20）包含高清镜头、室外防护罩、防雷（含网络和电源）防雷设备；其中高清镜头靶面尺寸与摄像机配套一致；室外防护罩不低于18寸；</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★满足《道路交通安全违法行为图像取证技术规范》（GA/T 832-2014）、《公共安全视频监控联网信息安全技术要求》（GB35114-2017）安全能力等级达到 A 级相关要求。（提供公安部检测机构出具的检测报告复印件加盖投标人公章）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526498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729578C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50E1FD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2E0C6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715449B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EB9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360CC3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489" w:type="dxa"/>
            <w:tcBorders>
              <w:top w:val="single" w:color="000000" w:sz="4" w:space="0"/>
              <w:left w:val="single" w:color="000000" w:sz="4" w:space="0"/>
              <w:bottom w:val="single" w:color="000000" w:sz="4" w:space="0"/>
              <w:right w:val="single" w:color="000000" w:sz="4" w:space="0"/>
            </w:tcBorders>
            <w:shd w:val="clear"/>
            <w:vAlign w:val="center"/>
          </w:tcPr>
          <w:p w14:paraId="16D9DC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400万智能球机</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339C17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1）传感器靶面尺寸:≥1/1.8 英寸，内置GPU芯片；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2）分辨率:≥2560×1440；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3）光学变倍:≥32 倍；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4）最低照度:彩色≤0.0002Lux，黑白≤0.0001Lux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5）支持车牌识别，同时可在抓拍图片上叠加设备编号、抓拍时间、车牌号码、 车辆颜色、车辆类型等信息；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6）支持经纬度显示功能和方位角度信息显示功能；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7）★支持车辆违停行为抓拍；（提供公安部检测机构出具的检测报告复印件加盖投标人公章）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8）白天有效检测距离不小于100 米；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9）白天和夜晚捕获率≥95%；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10）支持违停抓拍间隔功能设置，对触发违停的同一辆车，在设定的时间间隔内不会重复抓拍；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11）支持 16 个预置违法检测场景，每个场景内可设置 8 条违法检测规则；</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12）可对违停行为进行手动抓拍并生成违法停车图片；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★满足《道路交通安全违法行为图像取证技术规范》（GA/T 832-2014）、《公共安全视频监控联网信息安全技术要求》（GB35114-2017）安全能力等级达到 A 级相关要求。（提供公安部检测机构出具的检测报告复印件加盖投标人公章）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4FE75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17EE00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EF7739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23F967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1D8ED4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2E34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7E02DF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489" w:type="dxa"/>
            <w:tcBorders>
              <w:top w:val="single" w:color="000000" w:sz="4" w:space="0"/>
              <w:left w:val="single" w:color="000000" w:sz="4" w:space="0"/>
              <w:bottom w:val="single" w:color="000000" w:sz="4" w:space="0"/>
              <w:right w:val="single" w:color="000000" w:sz="4" w:space="0"/>
            </w:tcBorders>
            <w:shd w:val="clear"/>
            <w:vAlign w:val="center"/>
          </w:tcPr>
          <w:p w14:paraId="733D11E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400万全景摄像机</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710DB4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1）★传感器靶面尺寸:≥1/1.8 英寸；（提供公安部检测机构出具的检测报告复印件加盖投标人公章）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2）镜头支持自动变焦、自动调节光圈及ABF按键一键聚焦功能；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3）★分辨率≥2560×1440；（提供公安部检测机构出具的检测报告复印件加盖投标人公章）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4）最低照度彩色：0.0004lux，黑白：0.0001lux；照度适应范围≥130dB；</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5）视频压缩支持H.265、H.264、M-JPEG； 输出图片格式:JPEG；</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6）支持车辆捕获功能，白天和晚上捕获率≥99%；</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7）支持车牌识别功能，白天和晚上识别率≥99%；</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8）支持车流量统计功能，白天和晚上车流量统计准确率≥98%；</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9）包含高清一体化嵌入式摄像机、高清镜头、室外防护罩、相机内置网络信号防雷器、风扇、电源适配器等。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★满足《公共安全视频监控联网信息安全技术要求》（GB35114-2017）安全能力等级达到 A 级相关要求。（提供公安部检测机构出具的检测报告复印件加盖投标人公章）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EF690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777D36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2584AA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E95B0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684A9D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0B9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1FB846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489" w:type="dxa"/>
            <w:tcBorders>
              <w:top w:val="single" w:color="000000" w:sz="4" w:space="0"/>
              <w:left w:val="single" w:color="000000" w:sz="4" w:space="0"/>
              <w:bottom w:val="single" w:color="000000" w:sz="4" w:space="0"/>
              <w:right w:val="single" w:color="000000" w:sz="4" w:space="0"/>
            </w:tcBorders>
            <w:shd w:val="clear"/>
            <w:vAlign w:val="center"/>
          </w:tcPr>
          <w:p w14:paraId="2BFF90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信号检测器</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04CB4F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1）信号灯状态输入≥16路，支持16路信号灯状态通断检测，同时对应指示灯显示；</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2）支持红绿灯状态检测；</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3）支持红/绿灯信号检测模式切换；</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4）支持抓拍主机与检测器通过RS485 或网络通信，将红绿灯信号状态实时同步给抓拍主机。</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EF603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611ADF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E7CC2B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7ABDA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0CFA2B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5FAF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58C5FA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489" w:type="dxa"/>
            <w:tcBorders>
              <w:top w:val="single" w:color="000000" w:sz="4" w:space="0"/>
              <w:left w:val="single" w:color="000000" w:sz="4" w:space="0"/>
              <w:bottom w:val="single" w:color="000000" w:sz="4" w:space="0"/>
              <w:right w:val="single" w:color="000000" w:sz="4" w:space="0"/>
            </w:tcBorders>
            <w:shd w:val="clear"/>
            <w:vAlign w:val="center"/>
          </w:tcPr>
          <w:p w14:paraId="2D46CA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LED频闪灯</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45B298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1）色温:3000～6000k；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2）闪烁频率≥75Hz；</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3）显色指数≥65Ra；</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4）LED芯片颗数≥16 颗；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5）输入电压:AC220±44V；</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6）工作温度:-40℃～+70℃；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7）工作方式:相机帧同步信号触发补光灯频闪；</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8）灯具壳体材质:铸铝合金和钢化玻璃；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9）防护等级:IP65；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10）每车道一台，用于电子警察摄像机补光。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★符合《交通技术监控成像补光装置通用技术条件》( GA/T1202-2022)相关要求。（提供公安部检测机构出具的检测报告复印件加盖投标人公章）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5B23611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6133CA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3B8328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6C2071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145972E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7AAD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36CEE8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7</w:t>
            </w:r>
          </w:p>
        </w:tc>
        <w:tc>
          <w:tcPr>
            <w:tcW w:w="1489" w:type="dxa"/>
            <w:tcBorders>
              <w:top w:val="single" w:color="000000" w:sz="4" w:space="0"/>
              <w:left w:val="single" w:color="000000" w:sz="4" w:space="0"/>
              <w:bottom w:val="single" w:color="000000" w:sz="4" w:space="0"/>
              <w:right w:val="single" w:color="000000" w:sz="4" w:space="0"/>
            </w:tcBorders>
            <w:shd w:val="clear"/>
            <w:noWrap/>
            <w:vAlign w:val="center"/>
          </w:tcPr>
          <w:p w14:paraId="71EA4C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多功能闪光灯</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5EB2E6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1)红外白光爆闪补光一体灯，搭配高清摄像机使用；</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2)模式：白天/可见光，夜间/红外光；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3)回电时间≤100ms；</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4)支持LED频闪补光，爆闪补光，红外爆闪补光；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5)最佳拍摄距离：18-28m；</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6)闪光寿命：1000万次以上；</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7)输入电压:AC220±44V；</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8）工作温度:-40℃～+70℃；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9）具有防眩光功能；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10）每个车道配一台，用于卡口摄像机抓拍照明。</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★符合《交通技术监控成像补光装置通用技术条件》( GA/T1202-2022)相关要求。（提供公安部检测机构出具的检测报告复印件加盖投标人公章）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099643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3F9DF25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58BC919">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7173A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27A0062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8ED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7CB0B9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w:t>
            </w:r>
          </w:p>
        </w:tc>
        <w:tc>
          <w:tcPr>
            <w:tcW w:w="1489" w:type="dxa"/>
            <w:tcBorders>
              <w:top w:val="single" w:color="000000" w:sz="4" w:space="0"/>
              <w:left w:val="single" w:color="000000" w:sz="4" w:space="0"/>
              <w:bottom w:val="single" w:color="000000" w:sz="4" w:space="0"/>
              <w:right w:val="single" w:color="000000" w:sz="4" w:space="0"/>
            </w:tcBorders>
            <w:shd w:val="clear"/>
            <w:noWrap/>
            <w:vAlign w:val="center"/>
          </w:tcPr>
          <w:p w14:paraId="6821AF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900万电子警察一体化抓拍摄像机(含网络防雷、镜头、防护罩等)</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35A3D9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1)传感器靶面尺寸:≥1英寸，内置GPU芯片；</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2)★分辨率:≥4096×2160；（提供公安部检测机构出具的检测报告复印件加盖投标人公章）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3)帧率:≥25帧/秒；</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4)支持线圈+视频切换方式检测、线圈+视频混合检测；</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5)摄像机内置红绿灯状态视频检测、车辆视频检测、车牌识别、车身颜色识别、车标识别功能；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6)摄像机内置交通行为识别功能，具备车辆不按车道行驶、不按交通信号灯指示通行、不按导向箭头指示通行、倒车、逆行、压线行驶等行为的识别和记录功能；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7)支持车牌识别功能，白天、夜晚车牌识别准确率≥95%；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8)支持车辆捕获功能，白天准确率≥95%，晚上准确率≥95%；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9)支持自动区分机动车（不含摩托车）、二轮车（摩托车、自行车，电动二轮车）、三轮车和行人，类型区分准确率≥90%，非机动车、行人准确率白天、晚上≥92%；</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10)★支持车辆不按导向车道行驶行为抓拍，白天准确率≥98%，晚上准确率≥95%；（提供公安部检测机构出具的检测报告复印件加盖投标人公章）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11)★支持车辆闯红灯行为抓拍功能，白天准确率≥98%，晚上准确率≥95%； （提供公安部检测机构出具的检测报告复印件加盖投标人公章）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12)支持不低于13种车身颜色识别，包括:黑、白、灰、红、绿、蓝、黄、粉、紫、棕、青、金、橙,白天准确率≥95%，晚上准确率≥90%；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13）支持机动车占用非机动车道抓拍，支持占用专用车道抓拍，白天准确率≥98%，晚上准确率≥95%；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14）支持不低于8种常见车型识别，包括大客车、中型客车、大货车、中型货车、小货车、面包车、轿车及SUV、MPV等，日间车型识别率≥95%；夜间车型识别率≥90%；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15）视频压缩支持H.265、H.264、M-JPEG；输出图片格式:JPEG；</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16）包含高清镜头、室外防护罩、防雷（含网络和电源）防雷设备；其中高清镜头靶面尺寸与摄像机配套一致；室外防护罩不低于18寸。</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★满足《闯红灯自动记录系统通用技术条件》（GA/T496-2014）、《道路交通安全违法行为图像取证技术规范》（GA/T 832-2014）、《公共安全视频监控联网信息安全技术要求》（GB35114-2017）安全能力等级达到 A 级相关要求。（提供公安部检测机构出具的检测报告复印件加盖投标人公章）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78B4DE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488B7D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296C0D8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1557BD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120B03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D103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7A9E85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9</w:t>
            </w:r>
          </w:p>
        </w:tc>
        <w:tc>
          <w:tcPr>
            <w:tcW w:w="1489" w:type="dxa"/>
            <w:tcBorders>
              <w:top w:val="single" w:color="000000" w:sz="4" w:space="0"/>
              <w:left w:val="single" w:color="000000" w:sz="4" w:space="0"/>
              <w:bottom w:val="single" w:color="000000" w:sz="4" w:space="0"/>
              <w:right w:val="single" w:color="000000" w:sz="4" w:space="0"/>
            </w:tcBorders>
            <w:shd w:val="clear"/>
            <w:noWrap/>
            <w:vAlign w:val="center"/>
          </w:tcPr>
          <w:p w14:paraId="6337C6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社会治安（全景）监控球机（含U型支架）</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27FC5B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1）传感器:≥1/1.8 英寸；</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2）★分辨率:≥500 万像素；（提供公安部检测机构出具的检测报告复印件）</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3）★最低照度:彩色≤0.0005Lux；黑白≤0.0001Lux；（提供公安部检测机构出具的检测报告复印件）</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4）红外距离≥300 米；</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5）信噪比≥56dB；</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6)光学变倍≥30 倍，数字变倍≥16 倍数字变倍；</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7)支持智能红外、透雾、强光抑制、电子防抖、数字降噪、防红外过曝功能；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8）支持单场景跟踪、多场景跟踪、全景跟踪三种跟踪类型；</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9）支持手动跟踪和报警跟踪两种跟踪方式；</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10）支持区域入侵、停车、越界入侵、人员聚集、快速移动、物品除、物品遗留、徘徊、客流统计，热度图等智能分析；</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11）支持多种触发规则联动动作；</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12）支持目标过滤；可识别距离样机 650m的人脸轮廓；</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13）支持道路信息设置，道路信息可随球机转动变化；</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7B2D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75D2ED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6D5900D2">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9193B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775435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11C3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4C7BCC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489" w:type="dxa"/>
            <w:tcBorders>
              <w:top w:val="single" w:color="000000" w:sz="4" w:space="0"/>
              <w:left w:val="single" w:color="000000" w:sz="4" w:space="0"/>
              <w:bottom w:val="single" w:color="000000" w:sz="4" w:space="0"/>
              <w:right w:val="single" w:color="000000" w:sz="4" w:space="0"/>
            </w:tcBorders>
            <w:shd w:val="clear"/>
            <w:noWrap/>
            <w:vAlign w:val="center"/>
          </w:tcPr>
          <w:p w14:paraId="072FA7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多功能闪光灯</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4F37DF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1)红外白光爆闪补光一体灯，搭配高清摄像机使用；</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2)模式：白天/可见光，夜间/红外光；</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3)回电时间≤100ms；</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4)支持LED频闪补光，爆闪补光，红外爆闪补光；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5)最佳拍摄距离：18-28m；</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6)闪光寿命：1000万次以上；</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7)输入电压:AC220±44V；</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8）工作温度:-40℃～+70℃；</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9）具有防眩光功能；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10）每个车道配一台，用于卡口摄像机抓拍照明。</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★符合《交通技术监控成像补光装置通用技术条件》( GA/T1202-2022)相关要求。（提供公安部检测机构出具的检测报告复印件加盖投标人公章）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4B4A101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1D76BD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38EF7DDD">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7BEC2FF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41B9A49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451C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6BBBDB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11</w:t>
            </w:r>
          </w:p>
        </w:tc>
        <w:tc>
          <w:tcPr>
            <w:tcW w:w="1489" w:type="dxa"/>
            <w:tcBorders>
              <w:top w:val="single" w:color="000000" w:sz="4" w:space="0"/>
              <w:left w:val="single" w:color="000000" w:sz="4" w:space="0"/>
              <w:bottom w:val="single" w:color="000000" w:sz="4" w:space="0"/>
              <w:right w:val="single" w:color="000000" w:sz="4" w:space="0"/>
            </w:tcBorders>
            <w:shd w:val="clear"/>
            <w:noWrap/>
            <w:vAlign w:val="center"/>
          </w:tcPr>
          <w:p w14:paraId="28DEA92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终端主机</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3CEE7AA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1）采用嵌入式操作系统；</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2）内置4T硬盘；</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3）★接入≥12路高清网络摄像机；（提供公安部检测机构出具的检测报告复印件加盖投标人公章）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4）支持图片、视频实时预览，历史图片、视频调阅，并能对车辆行为全过程进行片段录像实现回放；</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5）支持数据上传，断网续传；记录信息自动循环覆盖，本地备份；</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6）支持视频中叠加通道信息、时间信息，支持在图片上叠加车牌、车道等信息；</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7）网络接口:100M网口≥8个，1000M网口≥2个；</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支持选择合成图片的分辨率、支持区分通道分别设置合成图片的大小、支持根据选择的原始图序号进行特写放大、支持根据实际场景分别设置大车和小车的合成特写图片的放大倍数、支持前后套牌抓拍，合成抓拍车头和车尾的卡口图片、支持匹配前端卡口和电警，图片四合一、六合一可选。</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3B1959B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0FB39D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5BFEAA9F">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B8E0F9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305CAB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FE66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1F9820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w:t>
            </w:r>
          </w:p>
        </w:tc>
        <w:tc>
          <w:tcPr>
            <w:tcW w:w="1489" w:type="dxa"/>
            <w:tcBorders>
              <w:top w:val="single" w:color="000000" w:sz="4" w:space="0"/>
              <w:left w:val="single" w:color="000000" w:sz="4" w:space="0"/>
              <w:bottom w:val="single" w:color="000000" w:sz="4" w:space="0"/>
              <w:right w:val="single" w:color="000000" w:sz="4" w:space="0"/>
            </w:tcBorders>
            <w:shd w:val="clear"/>
            <w:noWrap/>
            <w:vAlign w:val="center"/>
          </w:tcPr>
          <w:p w14:paraId="76824D2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广域雷达微波检测器</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39DA4E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1)用于各个路口的交通参数的采集、车辆驾驶行为跟踪、车辆速率检测，为交通数据采集系统、交通诱导系统、交通事件系统提供依据。</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2)★检测精度:车流量的检测精度≥95%，平均车速的检测精度≥95%；（提供公安部检测机构出具的检测报告复印件加盖投标人公章）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3)车辆占有率的检测精度≥95%；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4)采用广域雷达检测技术；</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5)★检测范围:横向≥8个车道，纵向≥300米；（提供公安部检测机构出具的检测报告复印件加盖投标人公章）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6)车型分类:大车、小车、非机动车、行人；</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7)刷新时间:≤60ms</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8)采样周期:1-3600s可调；</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9)检测目标数:沿检测方向同时识别跟踪≥128个；</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10)可检测不少于4个断面内的交通流数据，平均速度、车流量、占有率、车间距；</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11)★支持雷达目标位置和速度信息与视频图像叠加，并实时显示目标位置坐标，车道、速度；（提公安部检测机构出具的检测报告复印件加盖投标人公章）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 xml:space="preserve">12)★当检测到车流中异常低速、停车时输出报警信息，报警信息分为拥堵、缓行、逆行、变道、跟车过近、异常停车等（车辆事故/故障）；（提供公安部检测机构出具的检测报告复印件加盖投标人公章） </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13)具备图形化操作界面能实时显示每个目标存在检测区域内被跟踪情况，以及车辆即时速度、目标在二维坐标（x，y）等准确实时信息；</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14)★支持视频采集编码功能，分辨率≥400万像素；（提供公安部检测机构出具的检测报告复印件加盖投标人公章）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15)可区分大型汽车、中型汽车、小型汽车、二轮车，可对设定的周期内进行经过断面的车流量，白天的准确率不低于99%，夜间的准确率不低于99%；</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16)★具备交通事件检测功能，对排队超限、异常停车、逆行和变道等报警；（提供公安部检测机构出具的检测报告复印件加盖投标人公章）</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17)通讯接口: 具备RJ45接口或RS485接口；</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18)无故障工作时间:≥10年；</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19)工作温度范围:－40℃～＋85℃；</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20)安装高度:6-8米；</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21)存储能力：支持不少于存储8 G的车流量等统计数据；</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22)防护等级：不低于IP67。</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23)★微波检测器符合GB/T20609-2006国家标准《交通信息采集 微波交通流检测器》要求。（提供公安部检测机构出具的检测报告复印件加盖投标人公章）</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2941F4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套</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3E666B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14BA0F7C">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01DDA7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20C8BB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A4B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6A2603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w:t>
            </w:r>
          </w:p>
        </w:tc>
        <w:tc>
          <w:tcPr>
            <w:tcW w:w="1489" w:type="dxa"/>
            <w:tcBorders>
              <w:top w:val="single" w:color="000000" w:sz="4" w:space="0"/>
              <w:left w:val="single" w:color="000000" w:sz="4" w:space="0"/>
              <w:bottom w:val="single" w:color="000000" w:sz="4" w:space="0"/>
              <w:right w:val="single" w:color="000000" w:sz="4" w:space="0"/>
            </w:tcBorders>
            <w:shd w:val="clear"/>
            <w:noWrap/>
            <w:vAlign w:val="center"/>
          </w:tcPr>
          <w:p w14:paraId="452000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雷达数据处理器</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501774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雷达数据处理器（根据所投产品自行选配）</w:t>
            </w:r>
            <w:r>
              <w:rPr>
                <w:rFonts w:hint="eastAsia" w:ascii="宋体" w:hAnsi="宋体" w:eastAsia="宋体" w:cs="宋体"/>
                <w:i w:val="0"/>
                <w:iCs w:val="0"/>
                <w:color w:val="000000"/>
                <w:kern w:val="0"/>
                <w:sz w:val="24"/>
                <w:szCs w:val="24"/>
                <w:u w:val="none"/>
                <w:bdr w:val="none" w:color="auto" w:sz="0" w:space="0"/>
                <w:lang w:val="en-US" w:eastAsia="zh-CN" w:bidi="ar"/>
              </w:rPr>
              <w:br w:type="textWrapping"/>
            </w:r>
            <w:r>
              <w:rPr>
                <w:rFonts w:hint="eastAsia" w:ascii="宋体" w:hAnsi="宋体" w:eastAsia="宋体" w:cs="宋体"/>
                <w:i w:val="0"/>
                <w:iCs w:val="0"/>
                <w:color w:val="000000"/>
                <w:kern w:val="0"/>
                <w:sz w:val="24"/>
                <w:szCs w:val="24"/>
                <w:u w:val="none"/>
                <w:bdr w:val="none" w:color="auto" w:sz="0" w:space="0"/>
                <w:lang w:val="en-US" w:eastAsia="zh-CN" w:bidi="ar"/>
              </w:rPr>
              <w:t>1)实现四路雷达数据分析和处理，与信号机RS485或者I/O方式对接，每个路口配置一台；车辆存在、流量、占有率等数据输出；支持不少于4路雷达输入，1路485数据输出,最大支持32个通道（I/O）输出；功率≤5W；电压输入DC12～24 V；温度：－40 ~ +85℃。</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14:paraId="662769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w:t>
            </w:r>
          </w:p>
        </w:tc>
        <w:tc>
          <w:tcPr>
            <w:tcW w:w="1005" w:type="dxa"/>
            <w:tcBorders>
              <w:top w:val="single" w:color="000000" w:sz="4" w:space="0"/>
              <w:left w:val="single" w:color="000000" w:sz="4" w:space="0"/>
              <w:bottom w:val="single" w:color="000000" w:sz="4" w:space="0"/>
              <w:right w:val="single" w:color="000000" w:sz="4" w:space="0"/>
            </w:tcBorders>
            <w:shd w:val="clear"/>
            <w:vAlign w:val="center"/>
          </w:tcPr>
          <w:p w14:paraId="3C0186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vAlign w:val="center"/>
          </w:tcPr>
          <w:p w14:paraId="7629DA81">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30DD24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351" w:type="dxa"/>
            <w:tcBorders>
              <w:top w:val="single" w:color="000000" w:sz="4" w:space="0"/>
              <w:left w:val="single" w:color="000000" w:sz="4" w:space="0"/>
              <w:bottom w:val="single" w:color="000000" w:sz="4" w:space="0"/>
              <w:right w:val="single" w:color="000000" w:sz="4" w:space="0"/>
            </w:tcBorders>
            <w:shd w:val="clear"/>
            <w:vAlign w:val="center"/>
          </w:tcPr>
          <w:p w14:paraId="1939956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2CEA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5" w:type="dxa"/>
            <w:tcBorders>
              <w:top w:val="single" w:color="000000" w:sz="4" w:space="0"/>
              <w:left w:val="single" w:color="000000" w:sz="4" w:space="0"/>
              <w:bottom w:val="single" w:color="000000" w:sz="4" w:space="0"/>
              <w:right w:val="single" w:color="000000" w:sz="4" w:space="0"/>
            </w:tcBorders>
            <w:shd w:val="clear"/>
            <w:vAlign w:val="center"/>
          </w:tcPr>
          <w:p w14:paraId="19BE10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3260" w:type="dxa"/>
            <w:gridSpan w:val="7"/>
            <w:tcBorders>
              <w:top w:val="single" w:color="000000" w:sz="4" w:space="0"/>
              <w:left w:val="single" w:color="000000" w:sz="4" w:space="0"/>
              <w:bottom w:val="single" w:color="000000" w:sz="4" w:space="0"/>
              <w:right w:val="single" w:color="000000" w:sz="4" w:space="0"/>
            </w:tcBorders>
            <w:shd w:val="clear"/>
            <w:vAlign w:val="center"/>
          </w:tcPr>
          <w:p w14:paraId="03BBD9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28" name="Text_Box_5"/>
                  <wp:cNvGraphicFramePr/>
                  <a:graphic xmlns:a="http://schemas.openxmlformats.org/drawingml/2006/main">
                    <a:graphicData uri="http://schemas.openxmlformats.org/drawingml/2006/picture">
                      <pic:pic xmlns:pic="http://schemas.openxmlformats.org/drawingml/2006/picture">
                        <pic:nvPicPr>
                          <pic:cNvPr id="28"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27" name="Text_Box_9"/>
                  <wp:cNvGraphicFramePr/>
                  <a:graphic xmlns:a="http://schemas.openxmlformats.org/drawingml/2006/main">
                    <a:graphicData uri="http://schemas.openxmlformats.org/drawingml/2006/picture">
                      <pic:pic xmlns:pic="http://schemas.openxmlformats.org/drawingml/2006/picture">
                        <pic:nvPicPr>
                          <pic:cNvPr id="27"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5" name="Text_Box_5_SpCnt_1"/>
                  <wp:cNvGraphicFramePr/>
                  <a:graphic xmlns:a="http://schemas.openxmlformats.org/drawingml/2006/main">
                    <a:graphicData uri="http://schemas.openxmlformats.org/drawingml/2006/picture">
                      <pic:pic xmlns:pic="http://schemas.openxmlformats.org/drawingml/2006/picture">
                        <pic:nvPicPr>
                          <pic:cNvPr id="35"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1" name="Text_Box_9_SpCnt_1"/>
                  <wp:cNvGraphicFramePr/>
                  <a:graphic xmlns:a="http://schemas.openxmlformats.org/drawingml/2006/main">
                    <a:graphicData uri="http://schemas.openxmlformats.org/drawingml/2006/picture">
                      <pic:pic xmlns:pic="http://schemas.openxmlformats.org/drawingml/2006/picture">
                        <pic:nvPicPr>
                          <pic:cNvPr id="31"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24" name="Text_Box_12"/>
                  <wp:cNvGraphicFramePr/>
                  <a:graphic xmlns:a="http://schemas.openxmlformats.org/drawingml/2006/main">
                    <a:graphicData uri="http://schemas.openxmlformats.org/drawingml/2006/picture">
                      <pic:pic xmlns:pic="http://schemas.openxmlformats.org/drawingml/2006/picture">
                        <pic:nvPicPr>
                          <pic:cNvPr id="24"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29" name="Text_Box_10"/>
                  <wp:cNvGraphicFramePr/>
                  <a:graphic xmlns:a="http://schemas.openxmlformats.org/drawingml/2006/main">
                    <a:graphicData uri="http://schemas.openxmlformats.org/drawingml/2006/picture">
                      <pic:pic xmlns:pic="http://schemas.openxmlformats.org/drawingml/2006/picture">
                        <pic:nvPicPr>
                          <pic:cNvPr id="29"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4" name="Text_Box_9_SpCnt_2"/>
                  <wp:cNvGraphicFramePr/>
                  <a:graphic xmlns:a="http://schemas.openxmlformats.org/drawingml/2006/main">
                    <a:graphicData uri="http://schemas.openxmlformats.org/drawingml/2006/picture">
                      <pic:pic xmlns:pic="http://schemas.openxmlformats.org/drawingml/2006/picture">
                        <pic:nvPicPr>
                          <pic:cNvPr id="34"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25" name="Text_Box_7"/>
                  <wp:cNvGraphicFramePr/>
                  <a:graphic xmlns:a="http://schemas.openxmlformats.org/drawingml/2006/main">
                    <a:graphicData uri="http://schemas.openxmlformats.org/drawingml/2006/picture">
                      <pic:pic xmlns:pic="http://schemas.openxmlformats.org/drawingml/2006/picture">
                        <pic:nvPicPr>
                          <pic:cNvPr id="25"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26" name="Text_Box_5_SpCnt_2"/>
                  <wp:cNvGraphicFramePr/>
                  <a:graphic xmlns:a="http://schemas.openxmlformats.org/drawingml/2006/main">
                    <a:graphicData uri="http://schemas.openxmlformats.org/drawingml/2006/picture">
                      <pic:pic xmlns:pic="http://schemas.openxmlformats.org/drawingml/2006/picture">
                        <pic:nvPicPr>
                          <pic:cNvPr id="26"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0" name="Text_Box_14"/>
                  <wp:cNvGraphicFramePr/>
                  <a:graphic xmlns:a="http://schemas.openxmlformats.org/drawingml/2006/main">
                    <a:graphicData uri="http://schemas.openxmlformats.org/drawingml/2006/picture">
                      <pic:pic xmlns:pic="http://schemas.openxmlformats.org/drawingml/2006/picture">
                        <pic:nvPicPr>
                          <pic:cNvPr id="30"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2" name="Text_Box_12_SpCnt_1"/>
                  <wp:cNvGraphicFramePr/>
                  <a:graphic xmlns:a="http://schemas.openxmlformats.org/drawingml/2006/main">
                    <a:graphicData uri="http://schemas.openxmlformats.org/drawingml/2006/picture">
                      <pic:pic xmlns:pic="http://schemas.openxmlformats.org/drawingml/2006/picture">
                        <pic:nvPicPr>
                          <pic:cNvPr id="32"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3" name="Text_Box_7_SpCnt_1"/>
                  <wp:cNvGraphicFramePr/>
                  <a:graphic xmlns:a="http://schemas.openxmlformats.org/drawingml/2006/main">
                    <a:graphicData uri="http://schemas.openxmlformats.org/drawingml/2006/picture">
                      <pic:pic xmlns:pic="http://schemas.openxmlformats.org/drawingml/2006/picture">
                        <pic:nvPicPr>
                          <pic:cNvPr id="33"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6" name="Text_Box_10_SpCnt_1"/>
                  <wp:cNvGraphicFramePr/>
                  <a:graphic xmlns:a="http://schemas.openxmlformats.org/drawingml/2006/main">
                    <a:graphicData uri="http://schemas.openxmlformats.org/drawingml/2006/picture">
                      <pic:pic xmlns:pic="http://schemas.openxmlformats.org/drawingml/2006/picture">
                        <pic:nvPicPr>
                          <pic:cNvPr id="36"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7" name="Text_Box_5_SpCnt_3"/>
                  <wp:cNvGraphicFramePr/>
                  <a:graphic xmlns:a="http://schemas.openxmlformats.org/drawingml/2006/main">
                    <a:graphicData uri="http://schemas.openxmlformats.org/drawingml/2006/picture">
                      <pic:pic xmlns:pic="http://schemas.openxmlformats.org/drawingml/2006/picture">
                        <pic:nvPicPr>
                          <pic:cNvPr id="37"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8" name="Text_Box_14_SpCnt_1"/>
                  <wp:cNvGraphicFramePr/>
                  <a:graphic xmlns:a="http://schemas.openxmlformats.org/drawingml/2006/main">
                    <a:graphicData uri="http://schemas.openxmlformats.org/drawingml/2006/picture">
                      <pic:pic xmlns:pic="http://schemas.openxmlformats.org/drawingml/2006/picture">
                        <pic:nvPicPr>
                          <pic:cNvPr id="38"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39" name="Text_Box_12_SpCnt_2"/>
                  <wp:cNvGraphicFramePr/>
                  <a:graphic xmlns:a="http://schemas.openxmlformats.org/drawingml/2006/main">
                    <a:graphicData uri="http://schemas.openxmlformats.org/drawingml/2006/picture">
                      <pic:pic xmlns:pic="http://schemas.openxmlformats.org/drawingml/2006/picture">
                        <pic:nvPicPr>
                          <pic:cNvPr id="39"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45" name="Text_Box_10_SpCnt_2"/>
                  <wp:cNvGraphicFramePr/>
                  <a:graphic xmlns:a="http://schemas.openxmlformats.org/drawingml/2006/main">
                    <a:graphicData uri="http://schemas.openxmlformats.org/drawingml/2006/picture">
                      <pic:pic xmlns:pic="http://schemas.openxmlformats.org/drawingml/2006/picture">
                        <pic:nvPicPr>
                          <pic:cNvPr id="45"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42" name="Text_Box_9_SpCnt_3"/>
                  <wp:cNvGraphicFramePr/>
                  <a:graphic xmlns:a="http://schemas.openxmlformats.org/drawingml/2006/main">
                    <a:graphicData uri="http://schemas.openxmlformats.org/drawingml/2006/picture">
                      <pic:pic xmlns:pic="http://schemas.openxmlformats.org/drawingml/2006/picture">
                        <pic:nvPicPr>
                          <pic:cNvPr id="42"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46" name="Text_Box_14_SpCnt_2"/>
                  <wp:cNvGraphicFramePr/>
                  <a:graphic xmlns:a="http://schemas.openxmlformats.org/drawingml/2006/main">
                    <a:graphicData uri="http://schemas.openxmlformats.org/drawingml/2006/picture">
                      <pic:pic xmlns:pic="http://schemas.openxmlformats.org/drawingml/2006/picture">
                        <pic:nvPicPr>
                          <pic:cNvPr id="46"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40" name="Text_Box_7_SpCnt_2"/>
                  <wp:cNvGraphicFramePr/>
                  <a:graphic xmlns:a="http://schemas.openxmlformats.org/drawingml/2006/main">
                    <a:graphicData uri="http://schemas.openxmlformats.org/drawingml/2006/picture">
                      <pic:pic xmlns:pic="http://schemas.openxmlformats.org/drawingml/2006/picture">
                        <pic:nvPicPr>
                          <pic:cNvPr id="40"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43" name="Text_Box_12_SpCnt_3"/>
                  <wp:cNvGraphicFramePr/>
                  <a:graphic xmlns:a="http://schemas.openxmlformats.org/drawingml/2006/main">
                    <a:graphicData uri="http://schemas.openxmlformats.org/drawingml/2006/picture">
                      <pic:pic xmlns:pic="http://schemas.openxmlformats.org/drawingml/2006/picture">
                        <pic:nvPicPr>
                          <pic:cNvPr id="43"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44" name="Text_Box_7_SpCnt_3"/>
                  <wp:cNvGraphicFramePr/>
                  <a:graphic xmlns:a="http://schemas.openxmlformats.org/drawingml/2006/main">
                    <a:graphicData uri="http://schemas.openxmlformats.org/drawingml/2006/picture">
                      <pic:pic xmlns:pic="http://schemas.openxmlformats.org/drawingml/2006/picture">
                        <pic:nvPicPr>
                          <pic:cNvPr id="44"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5419725</wp:posOffset>
                  </wp:positionH>
                  <wp:positionV relativeFrom="paragraph">
                    <wp:posOffset>0</wp:posOffset>
                  </wp:positionV>
                  <wp:extent cx="152400" cy="161925"/>
                  <wp:effectExtent l="0" t="0" r="0" b="0"/>
                  <wp:wrapNone/>
                  <wp:docPr id="41" name="Text_Box_10_SpCnt_3"/>
                  <wp:cNvGraphicFramePr/>
                  <a:graphic xmlns:a="http://schemas.openxmlformats.org/drawingml/2006/main">
                    <a:graphicData uri="http://schemas.openxmlformats.org/drawingml/2006/picture">
                      <pic:pic xmlns:pic="http://schemas.openxmlformats.org/drawingml/2006/picture">
                        <pic:nvPicPr>
                          <pic:cNvPr id="41"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none" w:color="auto" w:sz="0" w:space="0"/>
                <w:lang w:val="en-US" w:eastAsia="zh-CN" w:bidi="ar"/>
              </w:rPr>
              <w:t>合计：</w:t>
            </w:r>
            <w:r>
              <w:rPr>
                <w:rFonts w:hint="eastAsia" w:ascii="宋体" w:hAnsi="宋体" w:eastAsia="宋体" w:cs="宋体"/>
                <w:i w:val="0"/>
                <w:iCs w:val="0"/>
                <w:color w:val="000000"/>
                <w:kern w:val="0"/>
                <w:sz w:val="24"/>
                <w:szCs w:val="24"/>
                <w:u w:val="single"/>
                <w:bdr w:val="none" w:color="auto" w:sz="0" w:space="0"/>
                <w:lang w:val="en-US" w:eastAsia="zh-CN" w:bidi="ar"/>
              </w:rPr>
              <w:t xml:space="preserve">        </w:t>
            </w:r>
            <w:r>
              <w:rPr>
                <w:rFonts w:hint="eastAsia" w:ascii="宋体" w:hAnsi="宋体" w:eastAsia="宋体" w:cs="宋体"/>
                <w:i w:val="0"/>
                <w:iCs w:val="0"/>
                <w:color w:val="000000"/>
                <w:kern w:val="0"/>
                <w:sz w:val="24"/>
                <w:szCs w:val="24"/>
                <w:u w:val="none"/>
                <w:bdr w:val="none" w:color="auto" w:sz="0" w:space="0"/>
                <w:lang w:val="en-US" w:eastAsia="zh-CN" w:bidi="ar"/>
              </w:rPr>
              <w:t>元</w:t>
            </w:r>
          </w:p>
        </w:tc>
      </w:tr>
      <w:tr w14:paraId="26665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3845" w:type="dxa"/>
            <w:gridSpan w:val="8"/>
            <w:tcBorders>
              <w:top w:val="single" w:color="000000" w:sz="4" w:space="0"/>
              <w:left w:val="single" w:color="000000" w:sz="4" w:space="0"/>
              <w:bottom w:val="single" w:color="000000" w:sz="4" w:space="0"/>
              <w:right w:val="single" w:color="000000" w:sz="4" w:space="0"/>
            </w:tcBorders>
            <w:shd w:val="clear"/>
            <w:vAlign w:val="center"/>
          </w:tcPr>
          <w:p w14:paraId="1EA224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注：以上报价含可抵扣的增值税专用发票、运费、以及卸货相关服务费用。</w:t>
            </w:r>
          </w:p>
        </w:tc>
      </w:tr>
      <w:tr w14:paraId="07BB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40"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18814F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是否接受保证金（控制价的2%）           </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570972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7354F6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是否接受履约保证金（成交金额的10%）</w:t>
            </w:r>
          </w:p>
        </w:tc>
        <w:tc>
          <w:tcPr>
            <w:tcW w:w="4751" w:type="dxa"/>
            <w:gridSpan w:val="3"/>
            <w:tcBorders>
              <w:top w:val="single" w:color="000000" w:sz="4" w:space="0"/>
              <w:left w:val="nil"/>
              <w:bottom w:val="single" w:color="000000" w:sz="4" w:space="0"/>
              <w:right w:val="single" w:color="000000" w:sz="4" w:space="0"/>
            </w:tcBorders>
            <w:shd w:val="clear"/>
            <w:vAlign w:val="center"/>
          </w:tcPr>
          <w:p w14:paraId="0F4626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32CB2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3FAF39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质保期：             </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29D96A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3年</w:t>
            </w: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7BED02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报价有效期：</w:t>
            </w:r>
          </w:p>
        </w:tc>
        <w:tc>
          <w:tcPr>
            <w:tcW w:w="4751" w:type="dxa"/>
            <w:gridSpan w:val="3"/>
            <w:tcBorders>
              <w:top w:val="single" w:color="000000" w:sz="4" w:space="0"/>
              <w:left w:val="nil"/>
              <w:bottom w:val="single" w:color="000000" w:sz="4" w:space="0"/>
              <w:right w:val="single" w:color="000000" w:sz="4" w:space="0"/>
            </w:tcBorders>
            <w:shd w:val="clear"/>
            <w:vAlign w:val="center"/>
          </w:tcPr>
          <w:p w14:paraId="0AF5D5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68A5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074" w:type="dxa"/>
            <w:gridSpan w:val="2"/>
            <w:tcBorders>
              <w:top w:val="single" w:color="000000" w:sz="4" w:space="0"/>
              <w:left w:val="single" w:color="000000" w:sz="4" w:space="0"/>
              <w:bottom w:val="single" w:color="000000" w:sz="4" w:space="0"/>
              <w:right w:val="single" w:color="000000" w:sz="4" w:space="0"/>
            </w:tcBorders>
            <w:shd w:val="clear"/>
            <w:vAlign w:val="center"/>
          </w:tcPr>
          <w:p w14:paraId="1AFAB7F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供货期：             </w:t>
            </w:r>
          </w:p>
        </w:tc>
        <w:tc>
          <w:tcPr>
            <w:tcW w:w="4935" w:type="dxa"/>
            <w:tcBorders>
              <w:top w:val="single" w:color="000000" w:sz="4" w:space="0"/>
              <w:left w:val="single" w:color="000000" w:sz="4" w:space="0"/>
              <w:bottom w:val="single" w:color="000000" w:sz="4" w:space="0"/>
              <w:right w:val="single" w:color="000000" w:sz="4" w:space="0"/>
            </w:tcBorders>
            <w:shd w:val="clear"/>
            <w:vAlign w:val="center"/>
          </w:tcPr>
          <w:p w14:paraId="006FF4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15天</w:t>
            </w:r>
          </w:p>
        </w:tc>
        <w:tc>
          <w:tcPr>
            <w:tcW w:w="2085" w:type="dxa"/>
            <w:gridSpan w:val="2"/>
            <w:tcBorders>
              <w:top w:val="single" w:color="000000" w:sz="4" w:space="0"/>
              <w:left w:val="single" w:color="000000" w:sz="4" w:space="0"/>
              <w:bottom w:val="single" w:color="000000" w:sz="4" w:space="0"/>
              <w:right w:val="single" w:color="000000" w:sz="4" w:space="0"/>
            </w:tcBorders>
            <w:shd w:val="clear"/>
            <w:vAlign w:val="center"/>
          </w:tcPr>
          <w:p w14:paraId="6782EB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付款方式</w:t>
            </w:r>
          </w:p>
        </w:tc>
        <w:tc>
          <w:tcPr>
            <w:tcW w:w="4751" w:type="dxa"/>
            <w:gridSpan w:val="3"/>
            <w:tcBorders>
              <w:top w:val="single" w:color="000000" w:sz="4" w:space="0"/>
              <w:left w:val="nil"/>
              <w:bottom w:val="single" w:color="000000" w:sz="4" w:space="0"/>
              <w:right w:val="single" w:color="000000" w:sz="4" w:space="0"/>
            </w:tcBorders>
            <w:shd w:val="clear"/>
            <w:vAlign w:val="center"/>
          </w:tcPr>
          <w:p w14:paraId="5BD301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bdr w:val="none" w:color="auto" w:sz="0" w:space="0"/>
                <w:lang w:val="en-US" w:eastAsia="zh-CN" w:bidi="ar"/>
              </w:rPr>
              <w:t>合同签订后个7日内支付30%预付款，货到验收合格后3个月内付清其余的货款</w:t>
            </w:r>
          </w:p>
        </w:tc>
      </w:tr>
    </w:tbl>
    <w:p w14:paraId="632E0F7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2BD280C"/>
    <w:rsid w:val="02BD7BE0"/>
    <w:rsid w:val="03626CD0"/>
    <w:rsid w:val="03BB36BB"/>
    <w:rsid w:val="04741F2A"/>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5D2018"/>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883CAD"/>
    <w:rsid w:val="24BF2D95"/>
    <w:rsid w:val="259D1AFE"/>
    <w:rsid w:val="25BA7F75"/>
    <w:rsid w:val="25DE44B5"/>
    <w:rsid w:val="264801BD"/>
    <w:rsid w:val="267537D8"/>
    <w:rsid w:val="26A67AF4"/>
    <w:rsid w:val="27933CD9"/>
    <w:rsid w:val="28126BBF"/>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7F03342"/>
    <w:rsid w:val="38544E55"/>
    <w:rsid w:val="39963E4D"/>
    <w:rsid w:val="3B0F7CBC"/>
    <w:rsid w:val="3B275F4B"/>
    <w:rsid w:val="3E015FF2"/>
    <w:rsid w:val="3E5157CB"/>
    <w:rsid w:val="40130CAF"/>
    <w:rsid w:val="420E65EA"/>
    <w:rsid w:val="42BF1B92"/>
    <w:rsid w:val="435E2995"/>
    <w:rsid w:val="43966372"/>
    <w:rsid w:val="44EF43A5"/>
    <w:rsid w:val="46AE2EAA"/>
    <w:rsid w:val="47D32116"/>
    <w:rsid w:val="48832749"/>
    <w:rsid w:val="493C6A78"/>
    <w:rsid w:val="49AB2DE5"/>
    <w:rsid w:val="4A0D21C2"/>
    <w:rsid w:val="4A0E06F8"/>
    <w:rsid w:val="4B1A7BD1"/>
    <w:rsid w:val="4BB038DA"/>
    <w:rsid w:val="4C73767A"/>
    <w:rsid w:val="4D030046"/>
    <w:rsid w:val="4D871781"/>
    <w:rsid w:val="4E802F1D"/>
    <w:rsid w:val="4EF042FA"/>
    <w:rsid w:val="4FAF448B"/>
    <w:rsid w:val="50417986"/>
    <w:rsid w:val="50F73FA0"/>
    <w:rsid w:val="515E18DF"/>
    <w:rsid w:val="51765D9A"/>
    <w:rsid w:val="517D0941"/>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3D4721D"/>
    <w:rsid w:val="64467711"/>
    <w:rsid w:val="64E752C4"/>
    <w:rsid w:val="65F729C7"/>
    <w:rsid w:val="66934D57"/>
    <w:rsid w:val="66A27154"/>
    <w:rsid w:val="66A80E51"/>
    <w:rsid w:val="677551D7"/>
    <w:rsid w:val="698D373B"/>
    <w:rsid w:val="69FD1FFD"/>
    <w:rsid w:val="6A2B5BCA"/>
    <w:rsid w:val="6AA75C6E"/>
    <w:rsid w:val="6BB31049"/>
    <w:rsid w:val="6BF15785"/>
    <w:rsid w:val="6CF430F2"/>
    <w:rsid w:val="6D3C0639"/>
    <w:rsid w:val="6DB96BEC"/>
    <w:rsid w:val="6F321DFD"/>
    <w:rsid w:val="6F575DD1"/>
    <w:rsid w:val="70155795"/>
    <w:rsid w:val="702E6762"/>
    <w:rsid w:val="70314EAA"/>
    <w:rsid w:val="706B3AE0"/>
    <w:rsid w:val="70A15D8A"/>
    <w:rsid w:val="71270FB3"/>
    <w:rsid w:val="71E07B02"/>
    <w:rsid w:val="71F66174"/>
    <w:rsid w:val="72C34258"/>
    <w:rsid w:val="73CE218C"/>
    <w:rsid w:val="74AA472D"/>
    <w:rsid w:val="768165E1"/>
    <w:rsid w:val="79DA1D09"/>
    <w:rsid w:val="7A182199"/>
    <w:rsid w:val="7A644061"/>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815</Words>
  <Characters>826</Characters>
  <Lines>0</Lines>
  <Paragraphs>0</Paragraphs>
  <TotalTime>10</TotalTime>
  <ScaleCrop>false</ScaleCrop>
  <LinksUpToDate>false</LinksUpToDate>
  <CharactersWithSpaces>1182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2025-04-10T10:57:50Z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31C2181FAB024F919AF3817BF583A863_13</vt:lpwstr>
  </property>
  <property fmtid="{D5CDD505-2E9C-101B-9397-08002B2CF9AE}" pid="4" name="KSOTemplateDocerSaveRecord">
    <vt:lpwstr>eyJoZGlkIjoiMTdmMDNkNWQ0ZWMxNjY0YzI3ODdkN2UzOWY5OGRlNzEifQ==</vt:lpwstr>
  </property>
</Properties>
</file>